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40"/>
        <w:ind w:left="0" w:right="266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18"/>
        </w:rPr>
        <w:t xml:space="preserve">통 </w:t>
      </w:r>
      <w:r>
        <w:rPr>
          <w:rFonts w:ascii="KoPubDotumBold" w:hAnsi="KoPubDotumBold" w:eastAsia="KoPubDotumBold"/>
          <w:b/>
          <w:i w:val="0"/>
          <w:color w:val="FFFFFF"/>
          <w:sz w:val="18"/>
        </w:rPr>
        <w:t>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96"/>
        <w:gridCol w:w="5096"/>
      </w:tblGrid>
      <w:tr>
        <w:trPr>
          <w:trHeight w:hRule="exact" w:val="2458"/>
        </w:trPr>
        <w:tc>
          <w:tcPr>
            <w:tcW w:type="dxa" w:w="84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" w:val="left"/>
              </w:tabs>
              <w:autoSpaceDE w:val="0"/>
              <w:widowControl/>
              <w:spacing w:line="1038" w:lineRule="exact" w:before="0" w:after="0"/>
              <w:ind w:left="0" w:right="1008" w:firstLine="0"/>
              <w:jc w:val="left"/>
            </w:pPr>
            <w:r>
              <w:rPr>
                <w:rFonts w:ascii="DIN" w:hAnsi="DIN" w:eastAsia="DIN"/>
                <w:b/>
                <w:i w:val="0"/>
                <w:color w:val="C4151B"/>
                <w:sz w:val="64"/>
              </w:rPr>
              <w:t xml:space="preserve">FIS </w:t>
            </w:r>
            <w:r>
              <w:br/>
            </w:r>
            <w:r>
              <w:rPr>
                <w:rFonts w:ascii="DIN" w:hAnsi="DIN" w:eastAsia="DIN"/>
                <w:b/>
                <w:i w:val="0"/>
                <w:color w:val="002D5D"/>
                <w:sz w:val="120"/>
              </w:rPr>
              <w:t>ISSUE &amp; FOCUS</w:t>
            </w:r>
          </w:p>
          <w:p>
            <w:pPr>
              <w:autoSpaceDN w:val="0"/>
              <w:autoSpaceDE w:val="0"/>
              <w:widowControl/>
              <w:spacing w:line="168" w:lineRule="auto" w:before="160" w:after="0"/>
              <w:ind w:left="1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6"/>
              </w:rPr>
              <w:t xml:space="preserve"> 발행인</w:t>
            </w: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 xml:space="preserve"> 박용주      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6"/>
              </w:rPr>
              <w:t>발행처</w:t>
            </w: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 xml:space="preserve"> 04637 서울특별시  중구 퇴계로 10(남대문로5가 537) 메트로타워      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6"/>
              </w:rPr>
              <w:t>T</w:t>
            </w: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 xml:space="preserve"> 02)6908-8568      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6"/>
              </w:rPr>
              <w:t>F</w:t>
            </w: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 xml:space="preserve"> 02)6312-8959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864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제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32"/>
              </w:rPr>
              <w:t>1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호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2022.03.</w:t>
            </w:r>
          </w:p>
          <w:p>
            <w:pPr>
              <w:autoSpaceDN w:val="0"/>
              <w:autoSpaceDE w:val="0"/>
              <w:widowControl/>
              <w:spacing w:line="168" w:lineRule="auto" w:before="1618" w:after="0"/>
              <w:ind w:left="0" w:right="13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FFFFFF"/>
                <w:sz w:val="16"/>
              </w:rPr>
              <w:t>www.kpfis.or.kr</w:t>
            </w:r>
          </w:p>
        </w:tc>
      </w:tr>
    </w:tbl>
    <w:p>
      <w:pPr>
        <w:autoSpaceDN w:val="0"/>
        <w:autoSpaceDE w:val="0"/>
        <w:widowControl/>
        <w:spacing w:line="168" w:lineRule="auto" w:before="124" w:after="0"/>
        <w:ind w:left="152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심혜인 부연구위원, 정성호 연구위원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자료수집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최성진 사원</w:t>
      </w:r>
    </w:p>
    <w:p>
      <w:pPr>
        <w:autoSpaceDN w:val="0"/>
        <w:tabs>
          <w:tab w:pos="5840" w:val="left"/>
        </w:tabs>
        <w:autoSpaceDE w:val="0"/>
        <w:widowControl/>
        <w:spacing w:line="245" w:lineRule="auto" w:before="1314" w:after="0"/>
        <w:ind w:left="5768" w:right="2304" w:firstLine="0"/>
        <w:jc w:val="left"/>
      </w:pPr>
      <w:r>
        <w:rPr>
          <w:rFonts w:ascii="KoPubDotumMedium" w:hAnsi="KoPubDotumMedium" w:eastAsia="KoPubDotumMedium"/>
          <w:b w:val="0"/>
          <w:i w:val="0"/>
          <w:color w:val="0095D9"/>
          <w:sz w:val="62"/>
        </w:rPr>
        <w:t>우발부채</w:t>
      </w:r>
      <w:r>
        <w:br/>
      </w:r>
      <w:r>
        <w:rPr>
          <w:w w:val="102.59783895392167"/>
          <w:rFonts w:ascii="KoPubDotumBold" w:hAnsi="KoPubDotumBold" w:eastAsia="KoPubDotumBold"/>
          <w:b/>
          <w:i w:val="0"/>
          <w:color w:val="403F41"/>
          <w:sz w:val="19"/>
        </w:rPr>
        <w:t>Contingent Liabilities</w:t>
      </w:r>
    </w:p>
    <w:p>
      <w:pPr>
        <w:autoSpaceDN w:val="0"/>
        <w:autoSpaceDE w:val="0"/>
        <w:widowControl/>
        <w:spacing w:line="257" w:lineRule="auto" w:before="356" w:after="0"/>
        <w:ind w:left="5830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우발부채 개념 및 용어 정의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국가결산보고서 우발부채 현황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국제기준(GFS)에 근거한 우발부채 분류 재검토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256" w:right="960" w:bottom="1440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62"/>
        <w:ind w:left="136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4406900</wp:posOffset>
            </wp:positionV>
            <wp:extent cx="520700" cy="1778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4870"/>
        <w:gridCol w:w="4870"/>
      </w:tblGrid>
      <w:tr>
        <w:trPr>
          <w:trHeight w:hRule="exact" w:val="1658"/>
        </w:trPr>
        <w:tc>
          <w:tcPr>
            <w:tcW w:type="dxa" w:w="279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90" w:after="0"/>
              <w:ind w:left="288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71"/>
              </w:rPr>
              <w:t>우발부채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24"/>
              </w:rPr>
              <w:t>(Contingent Liabilities)</w:t>
            </w:r>
          </w:p>
        </w:tc>
        <w:tc>
          <w:tcPr>
            <w:tcW w:type="dxa" w:w="673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72" w:after="0"/>
              <w:ind w:left="150" w:right="144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최근 국제기준의 재정통계 적용과 관련해 우발부채에 관한 구체적 논의가 진행 중이다. 우발부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채의 관리는 지속가능한 재정운영 차원에서 중요한 이슈인데, 이는 미래의 다양한 의제의무를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포함하고 있기 때문이다.</w:t>
            </w:r>
          </w:p>
          <w:p>
            <w:pPr>
              <w:autoSpaceDN w:val="0"/>
              <w:autoSpaceDE w:val="0"/>
              <w:widowControl/>
              <w:spacing w:line="168" w:lineRule="auto" w:before="154" w:after="0"/>
              <w:ind w:left="15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우리나라는 국가결산보고서 등에서 우발부채를 인식하고 있으나 용어 사용에 혼란이 있고 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03" w:type="dxa"/>
      </w:tblPr>
      <w:tblGrid>
        <w:gridCol w:w="9740"/>
      </w:tblGrid>
      <w:tr>
        <w:trPr>
          <w:trHeight w:hRule="exact" w:val="306"/>
        </w:trPr>
        <w:tc>
          <w:tcPr>
            <w:tcW w:type="dxa" w:w="938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류에 대한 개념적 논거가 명확하지 않은 면이 있다. 이 글에서는 국제기준에 근거하여 우발부채의 개념에 대한 일관된 인식 프레임을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03" w:type="dxa"/>
      </w:tblPr>
      <w:tblGrid>
        <w:gridCol w:w="9740"/>
      </w:tblGrid>
      <w:tr>
        <w:trPr>
          <w:trHeight w:hRule="exact" w:val="306"/>
        </w:trPr>
        <w:tc>
          <w:tcPr>
            <w:tcW w:type="dxa" w:w="938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제시하고, 국가결산 정보를 활용한 심층분석을 통하여 우리나라 우발부채 현황을 체계적으로 파악해보고자 하였다. 이를 통해 독자가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4870"/>
        <w:gridCol w:w="4870"/>
      </w:tblGrid>
      <w:tr>
        <w:trPr>
          <w:trHeight w:hRule="exact" w:val="628"/>
        </w:trPr>
        <w:tc>
          <w:tcPr>
            <w:tcW w:type="dxa" w:w="9622"/>
            <w:gridSpan w:val="2"/>
            <w:tcBorders>
              <w:bottom w:sz="8.0" w:val="single" w:color="#75BEE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9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우발부채 관리의 중요성에 대해 새롭게 인식할 수 있게 되기를 기대한다.</w:t>
            </w:r>
          </w:p>
        </w:tc>
      </w:tr>
      <w:tr>
        <w:trPr>
          <w:trHeight w:hRule="exact" w:val="2048"/>
        </w:trPr>
        <w:tc>
          <w:tcPr>
            <w:tcW w:type="dxa" w:w="1000"/>
            <w:tcBorders>
              <w:top w:sz="8.0" w:val="single" w:color="#75BEE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4" w:lineRule="exact" w:before="934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01</w:t>
            </w:r>
          </w:p>
        </w:tc>
        <w:tc>
          <w:tcPr>
            <w:tcW w:type="dxa" w:w="8622"/>
            <w:tcBorders>
              <w:top w:sz="8.0" w:val="single" w:color="#75BEE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8" w:after="0"/>
              <w:ind w:left="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들어가며</w:t>
            </w:r>
          </w:p>
        </w:tc>
      </w:tr>
    </w:tbl>
    <w:p>
      <w:pPr>
        <w:autoSpaceDN w:val="0"/>
        <w:autoSpaceDE w:val="0"/>
        <w:widowControl/>
        <w:spacing w:line="168" w:lineRule="auto" w:before="316" w:after="0"/>
        <w:ind w:left="206" w:right="0" w:firstLine="0"/>
        <w:jc w:val="left"/>
      </w:pPr>
      <w:r>
        <w:rPr>
          <w:w w:val="98.18181991577148"/>
          <w:rFonts w:ascii="KoPubDotumBold" w:hAnsi="KoPubDotumBold" w:eastAsia="KoPubDotumBold"/>
          <w:b/>
          <w:i w:val="0"/>
          <w:color w:val="FFF100"/>
          <w:sz w:val="22"/>
        </w:rPr>
        <w:t>ISSUE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왜 우발부채에 주목하는가?</w:t>
      </w:r>
    </w:p>
    <w:p>
      <w:pPr>
        <w:autoSpaceDN w:val="0"/>
        <w:tabs>
          <w:tab w:pos="266" w:val="left"/>
          <w:tab w:pos="320" w:val="left"/>
          <w:tab w:pos="332" w:val="left"/>
          <w:tab w:pos="486" w:val="left"/>
          <w:tab w:pos="494" w:val="left"/>
        </w:tabs>
        <w:autoSpaceDE w:val="0"/>
        <w:widowControl/>
        <w:spacing w:line="295" w:lineRule="auto" w:before="174" w:after="0"/>
        <w:ind w:left="13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국제기준 재정통계 산출에 발생주의(accrual basis)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 회계기준이 적용되면서 미래의 다양한 의제의무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(constructive obligation)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를 포괄하는 우발부채 관리에 대한 중요성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기업회계에서는 우발부채 규모가 그리 크지 않아 중요한 요소가 아니지만, 공공부문에서는 재정건전성, 재정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위기 관리 등 다양한 관점에서 중요하게 다뤄져야 할 필요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GFSM2001에서 광의적 개념으로 정의하였던 것에 비해, GFSM2014에서는 ‘명시적 우발부채’와 ‘암묵적 우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발부채’로 세분화하여 우발부채 범주를 하위 항목까지 구체적으로 다룸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3)</w:t>
      </w:r>
    </w:p>
    <w:p>
      <w:pPr>
        <w:autoSpaceDN w:val="0"/>
        <w:tabs>
          <w:tab w:pos="266" w:val="left"/>
          <w:tab w:pos="320" w:val="left"/>
          <w:tab w:pos="332" w:val="left"/>
          <w:tab w:pos="486" w:val="left"/>
          <w:tab w:pos="494" w:val="left"/>
        </w:tabs>
        <w:autoSpaceDE w:val="0"/>
        <w:widowControl/>
        <w:spacing w:line="281" w:lineRule="auto" w:before="318" w:after="0"/>
        <w:ind w:left="13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우리나라는 2011년부터 발생주의 기준을 적용한 국가결산보고서에서 우발부채를 보고하고 있으나, 용어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사용에 혼란이 있고 분류상 오류가 있는 등 체계적 관리 대안에 대한 논의가 필요한 시점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국제적으로 정부의 채무지속가능성분석(DSA)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4)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을 위한 기초자료로 활용되는 등 주요하게 인식되는 추세와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비교해 우리나라에서는 아직까지 체계적으로 다뤄지지 않고 있음</w:t>
      </w:r>
    </w:p>
    <w:p>
      <w:pPr>
        <w:autoSpaceDN w:val="0"/>
        <w:autoSpaceDE w:val="0"/>
        <w:widowControl/>
        <w:spacing w:line="168" w:lineRule="auto" w:before="642" w:after="0"/>
        <w:ind w:left="222" w:right="0" w:firstLine="0"/>
        <w:jc w:val="left"/>
      </w:pPr>
      <w:r>
        <w:rPr>
          <w:shd w:val="clear" w:color="auto" w:fill="0095d9"/>
          <w:w w:val="98.18181991577148"/>
          <w:rFonts w:ascii="KoPubDotumBold" w:hAnsi="KoPubDotumBold" w:eastAsia="KoPubDotumBold"/>
          <w:b/>
          <w:i w:val="0"/>
          <w:color w:val="FFF100"/>
          <w:sz w:val="22"/>
        </w:rPr>
        <w:t>FOCUS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우발부채 관련 주요 쟁점은?</w:t>
      </w:r>
    </w:p>
    <w:p>
      <w:pPr>
        <w:autoSpaceDN w:val="0"/>
        <w:tabs>
          <w:tab w:pos="262" w:val="left"/>
          <w:tab w:pos="266" w:val="left"/>
          <w:tab w:pos="320" w:val="left"/>
          <w:tab w:pos="476" w:val="left"/>
          <w:tab w:pos="484" w:val="left"/>
          <w:tab w:pos="486" w:val="left"/>
          <w:tab w:pos="494" w:val="left"/>
        </w:tabs>
        <w:autoSpaceDE w:val="0"/>
        <w:widowControl/>
        <w:spacing w:line="305" w:lineRule="auto" w:before="176" w:after="0"/>
        <w:ind w:left="13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우발부채 개념 및 용어 사용의 혼란, 우발부채 분류기준 재검토, 새로운 분류기준 정립</w:t>
      </w:r>
      <w:r>
        <w:br/>
      </w:r>
      <w:r>
        <w:rPr>
          <w:rFonts w:ascii="KoPubBatangLight" w:hAnsi="KoPubBatangLight" w:eastAsia="KoPubBatangLight"/>
          <w:b w:val="0"/>
          <w:i w:val="0"/>
          <w:color w:val="221F1F"/>
          <w:sz w:val="21"/>
        </w:rPr>
        <w:t xml:space="preserve"> - </w:t>
      </w:r>
      <w:r>
        <w:rPr>
          <w:rFonts w:ascii="KoPubBatangLight" w:hAnsi="KoPubBatangLight" w:eastAsia="KoPubBatangLight"/>
          <w:b w:val="0"/>
          <w:i w:val="0"/>
          <w:color w:val="221F1F"/>
          <w:sz w:val="21"/>
        </w:rPr>
        <w:t xml:space="preserve">발생주의 회계기준을 적용한 국가결산보고서가 10년간 작성되었으나 우발부채의 인식과 공시는 크게 달라지지 </w:t>
      </w:r>
      <w:r>
        <w:tab/>
      </w:r>
      <w:r>
        <w:tab/>
      </w:r>
      <w:r>
        <w:tab/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21"/>
        </w:rPr>
        <w:t>않음(현재 주석에서 ‘우발사항 및 약정사항’으로 보고)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우리나라는 국가회계기준, 지방회계기준, 한국채택국제회계기준(K–IFRS) 등에서 우발부채를 광의적 개념에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서만 정의하고 있어 용어 사용 혼란 및 체계적 관리 한계(본고 4페이지 참고)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SNA, PSDS, IPSAS 등 다양한 국제기준 통계가 GFS 체계로 조화를 모색하는 추세임을 감안할 때,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GFSM2014를 근거로 우발부채 용어 및 분류기준을 재정립할 필요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 xml:space="preserve">5)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(본고 10페이지 참고)</w:t>
      </w:r>
    </w:p>
    <w:p>
      <w:pPr>
        <w:autoSpaceDN w:val="0"/>
        <w:autoSpaceDE w:val="0"/>
        <w:widowControl/>
        <w:spacing w:line="180" w:lineRule="exact" w:before="706" w:after="0"/>
        <w:ind w:left="136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02</w:t>
      </w:r>
    </w:p>
    <w:p>
      <w:pPr>
        <w:sectPr>
          <w:pgSz w:w="11906" w:h="16838"/>
          <w:pgMar w:top="0" w:right="1168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5245100</wp:posOffset>
            </wp:positionV>
            <wp:extent cx="5892800" cy="1524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3266"/>
        <w:gridCol w:w="3266"/>
        <w:gridCol w:w="3266"/>
      </w:tblGrid>
      <w:tr>
        <w:trPr>
          <w:trHeight w:hRule="exact" w:val="1220"/>
        </w:trPr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02</w:t>
            </w:r>
          </w:p>
        </w:tc>
        <w:tc>
          <w:tcPr>
            <w:tcW w:type="dxa" w:w="8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96" w:after="0"/>
              <w:ind w:left="3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우발부채 개념 및 용어 정의</w:t>
            </w:r>
          </w:p>
        </w:tc>
      </w:tr>
      <w:tr>
        <w:trPr>
          <w:trHeight w:hRule="exact" w:val="52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1397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8" w:after="0"/>
              <w:ind w:left="9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(우발부채 개념) 미래 발생이 불확실한 잠재적 의무 or 부채 인식기준을 충족하지 못한 현재의무</w:t>
            </w:r>
          </w:p>
        </w:tc>
      </w:tr>
      <w:tr>
        <w:trPr>
          <w:trHeight w:hRule="exact" w:val="394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2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과거의 거래나 사건으로 발생하였으나, ⑴경제적 편익이 있는 자원을 유출할 현재의무를 가지고 있는지 확</w:t>
            </w:r>
          </w:p>
        </w:tc>
      </w:tr>
    </w:tbl>
    <w:p>
      <w:pPr>
        <w:autoSpaceDN w:val="0"/>
        <w:tabs>
          <w:tab w:pos="390" w:val="left"/>
          <w:tab w:pos="544" w:val="left"/>
          <w:tab w:pos="550" w:val="left"/>
        </w:tabs>
        <w:autoSpaceDE w:val="0"/>
        <w:widowControl/>
        <w:spacing w:line="305" w:lineRule="auto" w:before="134" w:after="0"/>
        <w:ind w:left="32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인되지 않은 ‘잠재적 의무’ 또는 ⑵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△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편익이 있는 자원의 유출가능성이 매우 높지 않거나, 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△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금액을 신뢰성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있게 추정할 수 없어 부채로 인식하지 않는 ‘현재의무’를 의미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우발부채는 미래에 특정 사건(들)이 일어나지 않는 한 발생하지 않는 의무로, 하나 또는 그 이상의 조건이 충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족되어야 금융거래로 인식된다는 점에서 ‘부채’와 차이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6)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우발부채는 재정위험(fiscal risk)을 발생시키는 구체적 원인이 되며, 의도적인 공공정책이나 재정위기와 같이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예기치 못한 사건으로 인해 발생할 수 있음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7)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우발부채가 부채로 인식되기 위해서는 하나 또는 그 이상의 조건이 충족되어야 하는 반면, ‘충당부채’는 현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재의무이고 경제적 편익이 있는 자원을 유출할 가능성이 높으며 금액을 신뢰성있게 추정할 수 있어 부채로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인식</w:t>
      </w:r>
    </w:p>
    <w:p>
      <w:pPr>
        <w:autoSpaceDN w:val="0"/>
        <w:autoSpaceDE w:val="0"/>
        <w:widowControl/>
        <w:spacing w:line="168" w:lineRule="auto" w:before="576" w:after="216"/>
        <w:ind w:left="2080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1&gt; 과거의 거래나 사건으로 발생한 현재의무에 대한 우발부채 vs 충당부채 구분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3266"/>
        <w:gridCol w:w="3266"/>
        <w:gridCol w:w="3266"/>
      </w:tblGrid>
      <w:tr>
        <w:trPr>
          <w:trHeight w:hRule="exact" w:val="404"/>
        </w:trPr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48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금액 추정가능성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51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신뢰성있는 추정가능성</w:t>
            </w:r>
          </w:p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0" w:right="49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신뢰성있는 추정불가능</w:t>
            </w:r>
          </w:p>
        </w:tc>
      </w:tr>
      <w:tr>
        <w:trPr>
          <w:trHeight w:hRule="exact" w:val="316"/>
        </w:trPr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8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자원 유출가능성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4" w:after="0"/>
              <w:ind w:left="0" w:right="11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충당부채로 인식</w:t>
            </w:r>
          </w:p>
        </w:tc>
        <w:tc>
          <w:tcPr>
            <w:tcW w:type="dxa" w:w="3266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3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매우 높음</w:t>
            </w:r>
          </w:p>
        </w:tc>
        <w:tc>
          <w:tcPr>
            <w:tcW w:type="dxa" w:w="3266"/>
            <w:vMerge/>
            <w:tcBorders/>
          </w:tcPr>
          <w:p/>
        </w:tc>
        <w:tc>
          <w:tcPr>
            <w:tcW w:type="dxa" w:w="32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52" w:after="52"/>
        <w:ind w:left="0" w:right="968" w:firstLine="0"/>
        <w:jc w:val="right"/>
      </w:pPr>
      <w:r>
        <w:rPr>
          <w:rFonts w:ascii="KoPubDotumLight" w:hAnsi="KoPubDotumLight" w:eastAsia="KoPubDotumLight"/>
          <w:b w:val="0"/>
          <w:i w:val="0"/>
          <w:color w:val="221F1F"/>
          <w:sz w:val="19"/>
        </w:rPr>
        <w:t>우발부채로 주석에 공시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6.0" w:type="dxa"/>
      </w:tblPr>
      <w:tblGrid>
        <w:gridCol w:w="3266"/>
        <w:gridCol w:w="3266"/>
        <w:gridCol w:w="3266"/>
      </w:tblGrid>
      <w:tr>
        <w:trPr>
          <w:trHeight w:hRule="exact" w:val="410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0" w:right="86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희박하지 않음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0" w:right="24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우발부채로 주석에 공시</w:t>
            </w:r>
          </w:p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18" w:after="0"/>
              <w:ind w:left="27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공시하지 않음</w:t>
            </w:r>
          </w:p>
        </w:tc>
      </w:tr>
      <w:tr>
        <w:trPr>
          <w:trHeight w:hRule="exact" w:val="438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8" w:after="0"/>
              <w:ind w:left="0" w:right="10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희박함</w:t>
            </w:r>
          </w:p>
        </w:tc>
        <w:tc>
          <w:tcPr>
            <w:tcW w:type="dxa" w:w="3266"/>
            <w:vMerge/>
            <w:tcBorders/>
          </w:tcPr>
          <w:p/>
        </w:tc>
        <w:tc>
          <w:tcPr>
            <w:tcW w:type="dxa" w:w="32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316" w:after="1076"/>
        <w:ind w:left="46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기획재정부, 「국가회계편람」. 2021.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4899"/>
        <w:gridCol w:w="4899"/>
      </w:tblGrid>
      <w:tr>
        <w:trPr>
          <w:trHeight w:hRule="exact" w:val="3284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2006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00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4" w:val="left"/>
                <w:tab w:pos="240" w:val="left"/>
              </w:tabs>
              <w:autoSpaceDE w:val="0"/>
              <w:widowControl/>
              <w:spacing w:line="245" w:lineRule="auto" w:before="74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발생주의(accrual basis)란 ‘경제적 거래가 발생하는 시점’에 거래를 기록하는 방식으로, ‘현금을 수취하거나 지급한 시점’에 거래를 기록하는 방식인 현금주의(cash 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basis)와 차이가 있다.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240" w:right="10" w:hanging="172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의제의무(擬制義務, constructive obligation)란 발표된 정부방침 또는 구체적이고 유효한 약속이나 과거의 실무관행 등을 통해 중앙관서 또는 기금이 특정 책임을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부담한다는 것을 표명함으로써 상대방이 그 책임을 이행할 것이라는 정당한 기대를 가지게 되는 경우 발생하는 의무를 말한다(「충당부채, 우발부채, 우발자산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회계처리지침」, 2018).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74" w:right="0" w:hanging="6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국제통화기금(IMF)은 재정통계 작성의 국제기준을 제시하기 위해 1986년 재정통계 매뉴얼(Government Finance Statistics Manual, GFSM)을 처음 발간하였으며, </w:t>
            </w: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3)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이후 2001년과 2014년 총 2차례의 개정이 있었다. 재정통계 매뉴얼의 발간(또는 개정) 연도에 따라 각각 GFSM1986, GFSM2001, GFSM2014로 지칭된다(IMF,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2014).</w:t>
            </w:r>
          </w:p>
          <w:p>
            <w:pPr>
              <w:autoSpaceDN w:val="0"/>
              <w:tabs>
                <w:tab w:pos="234" w:val="left"/>
                <w:tab w:pos="240" w:val="left"/>
              </w:tabs>
              <w:autoSpaceDE w:val="0"/>
              <w:widowControl/>
              <w:spacing w:line="245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채무지속가능성분석(Debt Sustainability Analysis, DSA)는 공공부문과 대외채무 지속가능성 분석에 관한 공식적인 체계로, 잠재적 재정위기 감지, 예방, 해결을 위한 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IMF의 노력으로 2002년에 도입되었다(IMF, 2013). 규모 측면에서 우리나라는 아직 저위험 국가로 분류되고 있다.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240" w:right="10" w:hanging="172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>5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SNA(System of National Accounts)는 국민계정을 측정하기 위해 UN에서 발표한 국제통계 매뉴얼, PSDS(Public Sector Debt Statistics guide for compliers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and users)는 IMF에서 발표한 공공부문 부채통계 작성 매뉴얼, IPSAS(International Public Sector Accouting Standards)는 국제공공부문회계기준위원회를 통해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제정되는 공공부문의 국제표준 회계기준이다.</w:t>
            </w:r>
          </w:p>
          <w:p>
            <w:pPr>
              <w:autoSpaceDN w:val="0"/>
              <w:tabs>
                <w:tab w:pos="234" w:val="left"/>
                <w:tab w:pos="240" w:val="left"/>
              </w:tabs>
              <w:autoSpaceDE w:val="0"/>
              <w:widowControl/>
              <w:spacing w:line="245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>6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우발부채에는 보통 현금지급(payment)이 요구되는지 여부와 그 잠재적 크기에 대하여 불확실성이 존재한다.일반적으로 우발부채는 특정한 조건이나 사건이 발생하지 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않거나 발생하기 전까지 부채로 인식하지 않는다.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재정위험이란 실제와 예측된 재정상황(재정수지, 공공채무 등) 간의 잠재적 차이를 의미한다(IMF, 2013).</w:t>
            </w:r>
          </w:p>
        </w:tc>
      </w:tr>
    </w:tbl>
    <w:p>
      <w:pPr>
        <w:autoSpaceDN w:val="0"/>
        <w:autoSpaceDE w:val="0"/>
        <w:widowControl/>
        <w:spacing w:line="180" w:lineRule="exact" w:before="648" w:after="0"/>
        <w:ind w:left="0" w:right="80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03</w:t>
      </w:r>
    </w:p>
    <w:p>
      <w:pPr>
        <w:sectPr>
          <w:pgSz w:w="11906" w:h="16838"/>
          <w:pgMar w:top="730" w:right="1054" w:bottom="332" w:left="1054" w:header="720" w:footer="720" w:gutter="0"/>
          <w:cols/>
          <w:docGrid w:linePitch="360"/>
        </w:sectPr>
      </w:pPr>
    </w:p>
    <w:p>
      <w:pPr>
        <w:autoSpaceDN w:val="0"/>
        <w:tabs>
          <w:tab w:pos="224" w:val="left"/>
          <w:tab w:pos="278" w:val="left"/>
          <w:tab w:pos="282" w:val="left"/>
          <w:tab w:pos="290" w:val="left"/>
          <w:tab w:pos="444" w:val="left"/>
          <w:tab w:pos="452" w:val="left"/>
        </w:tabs>
        <w:autoSpaceDE w:val="0"/>
        <w:widowControl/>
        <w:spacing w:line="300" w:lineRule="auto" w:before="1612" w:after="0"/>
        <w:ind w:left="94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(우발부채 인식) 국가회계기준(중앙정부)과 지방회계기준(지방정부)에서 우발부채 또는 우발상황 등을 정의</w:t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중앙정부와 지방정부는 각각 「국가회계기준에 관한 규칙」과 「지방자치단체 회계기준에 관한 규칙」에서 우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발부채 또는 우발상황 등을 정의하고, 이를 근거로 인식한 우발부채 현황을 결산보고서 주석 등에 공시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8)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「국가회계기준에 관한 규칙」은 제50조에서 ‘충당부채’, ‘우발부채’ 및 ‘우발자산’을 정의하고 있으며, 관련 예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규로서 「충당부채, 우발부채, 우발자산 회계처리지침」 운영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「지방자치단체 회계기준에 관한 규칙」은 제59조에서 ‘우발상황’, ‘우발손실’ 및 ‘우발이익’으로 정의하고 있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으며, 지방정부의 우발부채의 회계처리가 중앙정부와 상이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9)</w:t>
      </w:r>
    </w:p>
    <w:p>
      <w:pPr>
        <w:autoSpaceDN w:val="0"/>
        <w:tabs>
          <w:tab w:pos="224" w:val="left"/>
          <w:tab w:pos="278" w:val="left"/>
          <w:tab w:pos="290" w:val="left"/>
          <w:tab w:pos="444" w:val="left"/>
          <w:tab w:pos="452" w:val="left"/>
        </w:tabs>
        <w:autoSpaceDE w:val="0"/>
        <w:widowControl/>
        <w:spacing w:line="307" w:lineRule="auto" w:before="318" w:after="0"/>
        <w:ind w:left="9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국가회계기준의 우발부채 정의는 한국채택국제회계기준(K–IFRS) 또는 국제공공부문회계기준(IPSAS) 등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을 준용하고 있으나 광의적 개념 정의에 머무르는 한계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10)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「국가회계기준에 관한 규칙」은 2018년 일부개정으로 제50조의 우발상황, 우발이익 및 우발손실 용어를 삭제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하고 충당부채, 우발부채 및 우발자산 용어를 신설하여 인식 및 측정기준을 국제공공부문회계기준(IPSAS) 등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타 회계기준과 비슷하게 개선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이에 대한 회계처리지침을 신설하는 등 여러 노력이 있어 왔으나, 공시 현황을 보면 여전히 항목들을 주석5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‘우발사항 및 약정사항’ 내에 열거하는 수준에 머물러 있음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국제기준 GFSM2014는 우발부채를 ‘명시적(explicit)’ 및 ‘암묵적(implicit)’ 성격으로 구분하고 그 범주에 대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해 논의하고 있는데, 이에 맞춰 우발부채 용어 및 분류체계를 재정립할 필요(우발부채 관련 GFSM2014의 구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체적 내용은 이후 4장에서 설명)</w:t>
      </w:r>
    </w:p>
    <w:p>
      <w:pPr>
        <w:autoSpaceDN w:val="0"/>
        <w:autoSpaceDE w:val="0"/>
        <w:widowControl/>
        <w:spacing w:line="168" w:lineRule="auto" w:before="568" w:after="188"/>
        <w:ind w:left="0" w:right="2640" w:firstLine="0"/>
        <w:jc w:val="righ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2&gt; 우발부채 정의의 근거가 되는 국내외 주요 회계기준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97" w:type="dxa"/>
      </w:tblPr>
      <w:tblGrid>
        <w:gridCol w:w="2424"/>
        <w:gridCol w:w="2424"/>
        <w:gridCol w:w="2424"/>
        <w:gridCol w:w="2424"/>
      </w:tblGrid>
      <w:tr>
        <w:trPr>
          <w:trHeight w:hRule="exact" w:val="1372"/>
        </w:trPr>
        <w:tc>
          <w:tcPr>
            <w:tcW w:type="dxa" w:w="572"/>
            <w:tcBorders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국내</w:t>
            </w:r>
          </w:p>
        </w:tc>
        <w:tc>
          <w:tcPr>
            <w:tcW w:type="dxa" w:w="964"/>
            <w:tcBorders>
              <w:start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.9999999999998863" w:type="dxa"/>
            </w:tblPr>
            <w:tblGrid>
              <w:gridCol w:w="964"/>
            </w:tblGrid>
            <w:tr>
              <w:trPr>
                <w:trHeight w:hRule="exact" w:val="312"/>
              </w:trPr>
              <w:tc>
                <w:tcPr>
                  <w:tcW w:type="dxa" w:w="66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8" w:after="0"/>
                    <w:ind w:left="38" w:right="0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44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행정규칙</w:t>
            </w:r>
          </w:p>
        </w:tc>
        <w:tc>
          <w:tcPr>
            <w:tcW w:type="dxa" w:w="238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주요 기준</w:t>
            </w:r>
          </w:p>
          <w:p>
            <w:pPr>
              <w:autoSpaceDN w:val="0"/>
              <w:autoSpaceDE w:val="0"/>
              <w:widowControl/>
              <w:spacing w:line="245" w:lineRule="auto" w:before="294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「국가회계기준에 관한 규칙」(중앙)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「지방자치단체 회계기준에 관한 </w:t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규칙」(지방)</w:t>
            </w:r>
          </w:p>
        </w:tc>
        <w:tc>
          <w:tcPr>
            <w:tcW w:type="dxa" w:w="562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설명</w:t>
            </w:r>
          </w:p>
          <w:p>
            <w:pPr>
              <w:autoSpaceDN w:val="0"/>
              <w:autoSpaceDE w:val="0"/>
              <w:widowControl/>
              <w:spacing w:line="168" w:lineRule="auto" w:before="184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이에 따라 중앙·지방정부가 인식하고, 결산보고서에 공시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중앙과 지방 간 우발부채에 대한 인식, 회계처리, 공시가 상이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중앙정부는 우발부채에 대한 인식을 IPSAS 등 국제회계기준과 비슷한 수준까지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4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는 개선하였으나 여전히 체계적 관리 부족</w:t>
            </w:r>
          </w:p>
        </w:tc>
      </w:tr>
      <w:tr>
        <w:trPr>
          <w:trHeight w:hRule="exact" w:val="1276"/>
        </w:trPr>
        <w:tc>
          <w:tcPr>
            <w:tcW w:type="dxa" w:w="572"/>
            <w:vMerge w:val="restart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국제</w:t>
            </w:r>
          </w:p>
        </w:tc>
        <w:tc>
          <w:tcPr>
            <w:tcW w:type="dxa" w:w="96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회계기준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6" w:after="0"/>
              <w:ind w:left="0" w:right="288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한국채택국제회계기준(K–IFRS)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국제공공부문회계기준(IPSAS)</w:t>
            </w:r>
          </w:p>
        </w:tc>
        <w:tc>
          <w:tcPr>
            <w:tcW w:type="dxa" w:w="5620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  <w:tab w:pos="262" w:val="left"/>
                <w:tab w:pos="266" w:val="left"/>
                <w:tab w:pos="268" w:val="left"/>
                <w:tab w:pos="404" w:val="left"/>
                <w:tab w:pos="410" w:val="left"/>
              </w:tabs>
              <w:autoSpaceDE w:val="0"/>
              <w:widowControl/>
              <w:spacing w:line="245" w:lineRule="auto" w:before="116" w:after="0"/>
              <w:ind w:left="164" w:right="14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국제회계기준(IFRS)은 전세계 민간기업의, 국제공공부문회계기준(IPSAS)은 공공기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관의 회계작성법을 통일된 기준으로 만든 것으로 우발부채 개념에 대한 광의적 차원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 정의는 동일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우발부채에 대한 광의적 정의에 있어 국제 거시재정통계기준(GFS 등) 및 우리나라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국가회계기준과 거의 동일하게 규정</w:t>
            </w:r>
          </w:p>
        </w:tc>
      </w:tr>
      <w:tr>
        <w:trPr>
          <w:trHeight w:hRule="exact" w:val="1056"/>
        </w:trPr>
        <w:tc>
          <w:tcPr>
            <w:tcW w:type="dxa" w:w="2424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96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6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거시재정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통계기준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6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GFS, PSDS, SNA 등</w:t>
            </w:r>
          </w:p>
        </w:tc>
        <w:tc>
          <w:tcPr>
            <w:tcW w:type="dxa" w:w="5620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  <w:tab w:pos="262" w:val="left"/>
                <w:tab w:pos="268" w:val="left"/>
                <w:tab w:pos="404" w:val="left"/>
                <w:tab w:pos="410" w:val="left"/>
              </w:tabs>
              <w:autoSpaceDE w:val="0"/>
              <w:widowControl/>
              <w:spacing w:line="245" w:lineRule="auto" w:before="116" w:after="0"/>
              <w:ind w:left="164" w:right="14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국제 재정통계의 근간인 GFSM2014에서 우발부채를 ‘명시적’, ‘암묵적’ 성격으로 구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분하고, 그 범주를 상세히 논의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갈수록 SNA, PSDS, IPSAS 등 다양한 국제기준 통계가 모두 GFS체계로 조화를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모색하는 추세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798"/>
        <w:ind w:left="9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 저자 작성.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48"/>
        <w:gridCol w:w="4848"/>
      </w:tblGrid>
      <w:tr>
        <w:trPr>
          <w:trHeight w:hRule="exact" w:val="88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482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7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「국가회계법」 제15조(결산보고서의 작성)에 근거하여 제14조제3호에 따른 국가결산보고서 재무제표는 「국가회계기준에 관한 규칙」에 따라 작성한다.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246" w:right="4" w:hanging="170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>9</w:t>
            </w: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「지방회계법」 제16조(결산서의 작성 등)에 근거하여 제15조제3호에 따른 결산서의 재무제표는 「지방자치단체 회계기준에 관한 규칙」에 따라 작성한다. 「지방자치단체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복식부기·재무회계 운영규정」에서 우발부채·우발자산의 회계처리 등을 규정하고 있다. 중앙정부는 우발부채를 재무제표상 부채로 인식하지 않으나, 지방정부는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발생가능성과 금액의 추정가능성에 따라 재무제표상 재정상태표에 인식하는 경우도 있다.</w:t>
            </w:r>
          </w:p>
        </w:tc>
      </w:tr>
    </w:tbl>
    <w:p>
      <w:pPr>
        <w:autoSpaceDN w:val="0"/>
        <w:autoSpaceDE w:val="0"/>
        <w:widowControl/>
        <w:spacing w:line="180" w:lineRule="exact" w:before="644" w:after="0"/>
        <w:ind w:left="9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04</w:t>
      </w:r>
    </w:p>
    <w:p>
      <w:pPr>
        <w:sectPr>
          <w:pgSz w:w="11906" w:h="16838"/>
          <w:pgMar w:top="0" w:right="1170" w:bottom="332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tabs>
          <w:tab w:pos="218" w:val="left"/>
          <w:tab w:pos="272" w:val="left"/>
          <w:tab w:pos="276" w:val="left"/>
          <w:tab w:pos="284" w:val="left"/>
          <w:tab w:pos="438" w:val="left"/>
          <w:tab w:pos="444" w:val="left"/>
        </w:tabs>
        <w:autoSpaceDE w:val="0"/>
        <w:widowControl/>
        <w:spacing w:line="240" w:lineRule="auto" w:before="0" w:after="0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(우발부채 공시) 국가결산보고서는 우발부채를 재무제표상 부채로 인식하지 않으며, 주석에 공시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현재 국가결산보고서는 국가회계기준에 따라 우발부채를 의무 이행을 위해 자원이 유출될 가능성이 희박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하지 않은 한 주석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11)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에 공시하고 있으며, 재정상태표에는 인식하지 않음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12)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재무제표 주석5 ‘우발사항 및 약정사항’에는 계류중인 소송사건, 담보제공자산, 지급보증, 중요한 계약사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항 등 9가지 항목이 있으며, 가능하면 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△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우발부채 추정금액, 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△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자원의 유출 금액 및 시기 관련 불확실성 정도,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△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제3자에 의한 변제 가능성 공시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우발부채는 처음에 예상하지 못한 상황에 따라 변할 수 있으므로 지속적 검토가 필요하며, 과거 우발부채로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처리했더라도 경제적 편익 있는 자원의 유출가능성이 매우 높아진 경우, 그러한 가능성의 변화가 생긴 기간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의 재정상태표에 ‘충당부채’로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실무적인 이유로 공시하지 않은 사항이 있는 경우에는 그 사실을 공시해야 함</w:t>
      </w:r>
    </w:p>
    <w:p>
      <w:pPr>
        <w:autoSpaceDN w:val="0"/>
        <w:autoSpaceDE w:val="0"/>
        <w:widowControl/>
        <w:spacing w:line="168" w:lineRule="auto" w:before="566" w:after="190"/>
        <w:ind w:left="0" w:right="0" w:firstLine="0"/>
        <w:jc w:val="center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3&gt; 재무제표 주석5(우발사항 및 약정사항)의 공시 내용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844"/>
        <w:gridCol w:w="4844"/>
      </w:tblGrid>
      <w:tr>
        <w:trPr>
          <w:trHeight w:hRule="exact" w:val="930"/>
        </w:trPr>
        <w:tc>
          <w:tcPr>
            <w:tcW w:type="dxa" w:w="255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972" w:type="dxa"/>
            </w:tblPr>
            <w:tblGrid>
              <w:gridCol w:w="2558"/>
            </w:tblGrid>
            <w:tr>
              <w:trPr>
                <w:trHeight w:hRule="exact" w:val="312"/>
              </w:trPr>
              <w:tc>
                <w:tcPr>
                  <w:tcW w:type="dxa" w:w="1972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6" w:after="0"/>
                    <w:ind w:left="0" w:right="552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항목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28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① 계류중인 소송사건</w:t>
            </w:r>
          </w:p>
        </w:tc>
        <w:tc>
          <w:tcPr>
            <w:tcW w:type="dxa" w:w="698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설명</w:t>
            </w:r>
          </w:p>
          <w:p>
            <w:pPr>
              <w:autoSpaceDN w:val="0"/>
              <w:autoSpaceDE w:val="0"/>
              <w:widowControl/>
              <w:spacing w:line="168" w:lineRule="auto" w:before="184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원고, 피고인 경우 각각 전체 소송건수 및 소송가액, 주요 소송사건 등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5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소송사건 중 중요한 내역에 대해 소송상대방, 사건내용 등 구체적 기재</w:t>
            </w:r>
          </w:p>
        </w:tc>
      </w:tr>
      <w:tr>
        <w:trPr>
          <w:trHeight w:hRule="exact" w:val="618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② 담보제공자산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담보로 제공하고 있는 자산의 장부가액 및 채권최고액 등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제공자산별 담보내역, 장부가액, 담보설정금액, 담보권자, 차입금액 등</w:t>
            </w:r>
          </w:p>
        </w:tc>
      </w:tr>
      <w:tr>
        <w:trPr>
          <w:trHeight w:hRule="exact" w:val="616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4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③ 파생상품 내역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파생상품의 당기 변동 내역 및 기말 잔액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조직개편 등에 따라 파생상품평가손익 금액의 이관이 있을 경우 별도 서술</w:t>
            </w:r>
          </w:p>
        </w:tc>
      </w:tr>
      <w:tr>
        <w:trPr>
          <w:trHeight w:hRule="exact" w:val="616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④ 지급보증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지급보증 규모 및 구성내역 등 보증채무 외 지급보증 내역 기재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보증충당부채를 계상하는 회계실체가 제공한 지급보증을 제외한 모든 내역</w:t>
            </w:r>
          </w:p>
        </w:tc>
      </w:tr>
      <w:tr>
        <w:trPr>
          <w:trHeight w:hRule="exact" w:val="618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⑤ 중요한 계약사항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  <w:tab w:pos="406" w:val="left"/>
              </w:tabs>
              <w:autoSpaceDE w:val="0"/>
              <w:widowControl/>
              <w:spacing w:line="245" w:lineRule="auto" w:before="116" w:after="0"/>
              <w:ind w:left="164" w:right="2016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• 건설공사계약, 업무위탁계약, 기타계약 등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시설물 건축, 대규모 시설 관리, 전문업무 위탁 등 계약 중요도 높은 사항</w:t>
            </w:r>
          </w:p>
        </w:tc>
      </w:tr>
      <w:tr>
        <w:trPr>
          <w:trHeight w:hRule="exact" w:val="452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⑥ 천재지변, 중대한 사고 등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• 천재지변, 중대한 사고, 파업, 화재 등에 관한 내용과 결과</w:t>
            </w:r>
          </w:p>
        </w:tc>
      </w:tr>
      <w:tr>
        <w:trPr>
          <w:trHeight w:hRule="exact" w:val="618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⑦ 최소운영수입보장 내역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민간투자사업 중 BTO(Build-Transfer-Operate, 건설-양도-운영) 계약 등 최소운영수입보장 계약이 존재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하는 경우 모든 내역 기재</w:t>
            </w:r>
          </w:p>
        </w:tc>
      </w:tr>
      <w:tr>
        <w:trPr>
          <w:trHeight w:hRule="exact" w:val="616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⑧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기타 우발부채에 대한 내용, </w:t>
              <w:br/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3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자원의 유출에 따른 재무적 영향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•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장기임차토지의 원상회복의무, 철도운영자의 공공서비스 제공으로 발생하는 손실부담계약, 수자원·지하철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2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공사 금융비용지원 등(공공손실부담, 공공금융비용)</w:t>
            </w:r>
          </w:p>
        </w:tc>
      </w:tr>
      <w:tr>
        <w:trPr>
          <w:trHeight w:hRule="exact" w:val="618"/>
        </w:trPr>
        <w:tc>
          <w:tcPr>
            <w:tcW w:type="dxa" w:w="255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94" w:after="0"/>
              <w:ind w:left="1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⑨ 우발자산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13)</w:t>
            </w:r>
          </w:p>
        </w:tc>
        <w:tc>
          <w:tcPr>
            <w:tcW w:type="dxa" w:w="698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  <w:tab w:pos="404" w:val="left"/>
              </w:tabs>
              <w:autoSpaceDE w:val="0"/>
              <w:widowControl/>
              <w:spacing w:line="245" w:lineRule="auto" w:before="116" w:after="0"/>
              <w:ind w:left="164" w:right="2448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• 자원의 유입가능성이 매우 높은 압수품 및 몰수품 등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-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처분이 예정되어 있고 처분가격을 확인할 수 있는 종류와 금액 공시</w:t>
            </w:r>
          </w:p>
        </w:tc>
      </w:tr>
    </w:tbl>
    <w:p>
      <w:pPr>
        <w:autoSpaceDN w:val="0"/>
        <w:autoSpaceDE w:val="0"/>
        <w:widowControl/>
        <w:spacing w:line="168" w:lineRule="auto" w:before="168" w:after="866"/>
        <w:ind w:left="8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기획재정부, 「2021회계연도 결산작성지침」 및 대한민국정부, 「2020회계연도 국가결산보고서」를 참고하여 재작성.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44"/>
        <w:gridCol w:w="4844"/>
      </w:tblGrid>
      <w:tr>
        <w:trPr>
          <w:trHeight w:hRule="exact" w:val="1882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1049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318" w:right="10" w:hanging="250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국제회계기준(International Finncial Reporting Standards, IFRS)은 전세계의 민간기업들의 회계작성법을 통일된 기준으로 만든 것, 국제공공부문회계기준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(International Public Sector Accounting Standards, IPSAS)은 민간이 아닌 공공기관, 국가기관 등의 회계 작성을 통일된 기준으로 만든 것이다.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국제공공부문회계기준(IPSAS)은 국제회계기준(IFRS)에 근거를 두고 있으며 완전히 다른 원칙을 갖는 회계기준은 아니다.</w:t>
            </w:r>
          </w:p>
          <w:p>
            <w:pPr>
              <w:autoSpaceDN w:val="0"/>
              <w:tabs>
                <w:tab w:pos="314" w:val="left"/>
                <w:tab w:pos="318" w:val="left"/>
              </w:tabs>
              <w:autoSpaceDE w:val="0"/>
              <w:widowControl/>
              <w:spacing w:line="245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국가결산보고서 재무제표 주석은 정보이용자에게 충분한 회계정보를 제공하기 위하여 채택한 중요한 회계정책과 재무제표에 중대한 영향을 미치는 사항을 설명한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것으로, 매년 「결산작성지침」 양식에 따라 작성한다.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72" w:right="0" w:hanging="4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국가회계편람(2021)에 근거한 설명이다. 과거에는 국가결산보고서에서 우발부채를 재무제표(재정상태표)에 인식, 주석으로만 공시, 공시하지 않는 경우로 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12)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구분하였으나, 2018년 「충당부채, 우발부채, 우발자산 회계처리지침」 개정 이후에는 우발부채를 재무제표(재정상태표)에서 인식하지 않는다.</w:t>
            </w:r>
          </w:p>
          <w:p>
            <w:pPr>
              <w:autoSpaceDN w:val="0"/>
              <w:tabs>
                <w:tab w:pos="314" w:val="left"/>
                <w:tab w:pos="318" w:val="left"/>
              </w:tabs>
              <w:autoSpaceDE w:val="0"/>
              <w:widowControl/>
              <w:spacing w:line="245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본고에서 우발자산에 대한 논의는 생략한다. 2020회계연도 기준 중앙정부의 자원 유입가능성이 매우 높은 우발자산으로는 국고품 및 몰수품 14.3억원 규모, 청구권이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상실되지 않은 채권잔액 7,680억원 규모가 있다.</w:t>
            </w:r>
          </w:p>
        </w:tc>
      </w:tr>
    </w:tbl>
    <w:p>
      <w:pPr>
        <w:autoSpaceDN w:val="0"/>
        <w:autoSpaceDE w:val="0"/>
        <w:widowControl/>
        <w:spacing w:line="180" w:lineRule="exact" w:before="650" w:after="0"/>
        <w:ind w:left="0" w:right="76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05</w:t>
      </w:r>
    </w:p>
    <w:p>
      <w:pPr>
        <w:sectPr>
          <w:pgSz w:w="11906" w:h="16838"/>
          <w:pgMar w:top="806" w:right="1058" w:bottom="332" w:left="11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4862"/>
        <w:gridCol w:w="4862"/>
      </w:tblGrid>
      <w:tr>
        <w:trPr>
          <w:trHeight w:hRule="exact" w:val="116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03</w:t>
            </w:r>
          </w:p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38" w:after="0"/>
              <w:ind w:left="5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국가결산보고서 우발부채 현황</w:t>
            </w:r>
          </w:p>
        </w:tc>
      </w:tr>
    </w:tbl>
    <w:p>
      <w:pPr>
        <w:autoSpaceDN w:val="0"/>
        <w:tabs>
          <w:tab w:pos="252" w:val="left"/>
          <w:tab w:pos="306" w:val="left"/>
          <w:tab w:pos="310" w:val="left"/>
          <w:tab w:pos="318" w:val="left"/>
          <w:tab w:pos="472" w:val="left"/>
          <w:tab w:pos="480" w:val="left"/>
        </w:tabs>
        <w:autoSpaceDE w:val="0"/>
        <w:widowControl/>
        <w:spacing w:line="305" w:lineRule="auto" w:before="308" w:after="506"/>
        <w:ind w:left="122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계류중인 소송사건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계류중인 소송사건은 정부가 원고인 경우와 피고인 경우 각각을 주석으로 공시하며, 다만 자원의 유출가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능성이 매우 높은 경우(정부가 피고로 2심 패소 등)에는 소송충당부채로 공시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2020회계연도 말(당기말) 기준 정부가 피고인 소송사건의 전체 소송건수는 4,930건으로 전기말에 비해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553건 증가했으며, 전체 소송가액은 9.0조원으로 전기말에 비해 2.3조원 증가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2020회계연도 말(당기말) 기준 정부가 피고인 소송사건의 소송건수는 법무처가 1,069건으로 가장 많으며,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전체 소송가액 규모는 국세청이 30.2억원으로 가장 크게 나타남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계류중인 소송사건은 정부가 원고인 경우(예를 들어, 정부가 다른 당사자에게 손상 또는 손실에 대해 청구한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소송사건의 경우) 우발자산이 될 수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68.0" w:type="dxa"/>
      </w:tblPr>
      <w:tblGrid>
        <w:gridCol w:w="4862"/>
        <w:gridCol w:w="4862"/>
      </w:tblGrid>
      <w:tr>
        <w:trPr>
          <w:trHeight w:hRule="exact" w:val="402"/>
        </w:trPr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22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4&gt; 계류중인 소송사건(FY2020)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건, 백만원)</w:t>
            </w:r>
          </w:p>
        </w:tc>
      </w:tr>
    </w:tbl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389"/>
        <w:gridCol w:w="1389"/>
        <w:gridCol w:w="1389"/>
        <w:gridCol w:w="1389"/>
        <w:gridCol w:w="1389"/>
        <w:gridCol w:w="1389"/>
        <w:gridCol w:w="1389"/>
      </w:tblGrid>
      <w:tr>
        <w:trPr>
          <w:trHeight w:hRule="exact" w:val="314"/>
        </w:trPr>
        <w:tc>
          <w:tcPr>
            <w:tcW w:type="dxa" w:w="1196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원고인 경우</w:t>
            </w:r>
          </w:p>
        </w:tc>
        <w:tc>
          <w:tcPr>
            <w:tcW w:type="dxa" w:w="3404"/>
            <w:gridSpan w:val="3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소송건수</w:t>
            </w:r>
          </w:p>
        </w:tc>
        <w:tc>
          <w:tcPr>
            <w:tcW w:type="dxa" w:w="4938"/>
            <w:gridSpan w:val="3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소송가액</w:t>
            </w:r>
          </w:p>
        </w:tc>
      </w:tr>
      <w:tr>
        <w:trPr>
          <w:trHeight w:hRule="exact" w:val="794"/>
        </w:trPr>
        <w:tc>
          <w:tcPr>
            <w:tcW w:type="dxa" w:w="1389"/>
            <w:vMerge/>
            <w:tcBorders>
              <w:bottom w:sz="2.0" w:val="single" w:color="#221F1F"/>
            </w:tcBorders>
          </w:tcPr>
          <w:p/>
        </w:tc>
        <w:tc>
          <w:tcPr>
            <w:tcW w:type="dxa" w:w="1136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전기말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3,412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당기말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3,655 </w:t>
            </w:r>
          </w:p>
        </w:tc>
        <w:tc>
          <w:tcPr>
            <w:tcW w:type="dxa" w:w="113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증감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243 </w:t>
            </w:r>
          </w:p>
        </w:tc>
        <w:tc>
          <w:tcPr>
            <w:tcW w:type="dxa" w:w="164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58" w:val="left"/>
              </w:tabs>
              <w:autoSpaceDE w:val="0"/>
              <w:widowControl/>
              <w:spacing w:line="278" w:lineRule="auto" w:before="118" w:after="0"/>
              <w:ind w:left="61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전기말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1,480,300 </w:t>
            </w:r>
          </w:p>
        </w:tc>
        <w:tc>
          <w:tcPr>
            <w:tcW w:type="dxa" w:w="164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0" w:val="left"/>
              </w:tabs>
              <w:autoSpaceDE w:val="0"/>
              <w:widowControl/>
              <w:spacing w:line="278" w:lineRule="auto" w:before="118" w:after="0"/>
              <w:ind w:left="60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당기말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1,646,689 </w:t>
            </w:r>
          </w:p>
        </w:tc>
        <w:tc>
          <w:tcPr>
            <w:tcW w:type="dxa" w:w="165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2" w:val="left"/>
              </w:tabs>
              <w:autoSpaceDE w:val="0"/>
              <w:widowControl/>
              <w:spacing w:line="278" w:lineRule="auto" w:before="118" w:after="0"/>
              <w:ind w:left="608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증감액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166,389</w:t>
            </w:r>
          </w:p>
        </w:tc>
      </w:tr>
      <w:tr>
        <w:trPr>
          <w:trHeight w:hRule="exact" w:val="398"/>
        </w:trPr>
        <w:tc>
          <w:tcPr>
            <w:tcW w:type="dxa" w:w="119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피고인 경우</w:t>
            </w:r>
          </w:p>
        </w:tc>
        <w:tc>
          <w:tcPr>
            <w:tcW w:type="dxa" w:w="113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4,377 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4,930 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553 </w:t>
            </w:r>
          </w:p>
        </w:tc>
        <w:tc>
          <w:tcPr>
            <w:tcW w:type="dxa" w:w="164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6,657,325</w:t>
            </w:r>
          </w:p>
        </w:tc>
        <w:tc>
          <w:tcPr>
            <w:tcW w:type="dxa" w:w="164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8,975,250</w:t>
            </w:r>
          </w:p>
        </w:tc>
        <w:tc>
          <w:tcPr>
            <w:tcW w:type="dxa" w:w="1650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2,317,925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0"/>
        <w:ind w:left="122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 중앙관서별 재무제표를 참고하여 재작성.</w:t>
      </w:r>
    </w:p>
    <w:p>
      <w:pPr>
        <w:autoSpaceDN w:val="0"/>
        <w:tabs>
          <w:tab w:pos="252" w:val="left"/>
          <w:tab w:pos="306" w:val="left"/>
          <w:tab w:pos="310" w:val="left"/>
          <w:tab w:pos="318" w:val="left"/>
          <w:tab w:pos="472" w:val="left"/>
          <w:tab w:pos="480" w:val="left"/>
        </w:tabs>
        <w:autoSpaceDE w:val="0"/>
        <w:widowControl/>
        <w:spacing w:line="286" w:lineRule="auto" w:before="906" w:after="516"/>
        <w:ind w:left="122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담보제공자산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담보제공자산 유형은 토지, 건물, 금융상품이며, 장부가액 기준 1,853억원, 채권최고액 기준 8,932억원 규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모로 전세권 및 근저당권 설정, 임차인 권리보전, 전환대출 보증 등 사유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토지 및 건물 담보의 채권최고액은 산업통상자원부 약 2.2억원, 금융위원회 약 24.5억원 규모이며, 단기 및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장기 금융상품 담보제공자산의 채권최고액은 약 62.5억원임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68.0" w:type="dxa"/>
      </w:tblPr>
      <w:tblGrid>
        <w:gridCol w:w="4862"/>
        <w:gridCol w:w="4862"/>
      </w:tblGrid>
      <w:tr>
        <w:trPr>
          <w:trHeight w:hRule="exact" w:val="416"/>
        </w:trPr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41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5&gt; 담보제공자산(FY2020)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945"/>
        <w:gridCol w:w="1945"/>
        <w:gridCol w:w="1945"/>
        <w:gridCol w:w="1945"/>
        <w:gridCol w:w="1945"/>
      </w:tblGrid>
      <w:tr>
        <w:trPr>
          <w:trHeight w:hRule="exact" w:val="738"/>
        </w:trPr>
        <w:tc>
          <w:tcPr>
            <w:tcW w:type="dxa" w:w="2274"/>
            <w:gridSpan w:val="2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85" w:type="dxa"/>
            </w:tblPr>
            <w:tblGrid>
              <w:gridCol w:w="2274"/>
            </w:tblGrid>
            <w:tr>
              <w:trPr>
                <w:trHeight w:hRule="exact" w:val="340"/>
              </w:trPr>
              <w:tc>
                <w:tcPr>
                  <w:tcW w:type="dxa" w:w="1766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488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토지 및 건물</w:t>
            </w:r>
          </w:p>
        </w:tc>
        <w:tc>
          <w:tcPr>
            <w:tcW w:type="dxa" w:w="170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54" w:val="left"/>
              </w:tabs>
              <w:autoSpaceDE w:val="0"/>
              <w:widowControl/>
              <w:spacing w:line="266" w:lineRule="auto" w:before="92" w:after="0"/>
              <w:ind w:left="56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장부가액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178,250</w:t>
            </w:r>
          </w:p>
        </w:tc>
        <w:tc>
          <w:tcPr>
            <w:tcW w:type="dxa" w:w="170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8" w:val="left"/>
              </w:tabs>
              <w:autoSpaceDE w:val="0"/>
              <w:widowControl/>
              <w:spacing w:line="266" w:lineRule="auto" w:before="92" w:after="0"/>
              <w:ind w:left="50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채권최고액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2,671</w:t>
            </w:r>
          </w:p>
        </w:tc>
        <w:tc>
          <w:tcPr>
            <w:tcW w:type="dxa" w:w="386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92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담보제공 이유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임차인 앞 전세권 설정, 임차인 권리보전</w:t>
            </w:r>
          </w:p>
        </w:tc>
      </w:tr>
      <w:tr>
        <w:trPr>
          <w:trHeight w:hRule="exact" w:val="398"/>
        </w:trPr>
        <w:tc>
          <w:tcPr>
            <w:tcW w:type="dxa" w:w="1140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금융상품</w:t>
            </w:r>
          </w:p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단기금융</w:t>
            </w:r>
          </w:p>
        </w:tc>
        <w:tc>
          <w:tcPr>
            <w:tcW w:type="dxa" w:w="170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2,835</w:t>
            </w:r>
          </w:p>
        </w:tc>
        <w:tc>
          <w:tcPr>
            <w:tcW w:type="dxa" w:w="170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2,683</w:t>
            </w:r>
          </w:p>
        </w:tc>
        <w:tc>
          <w:tcPr>
            <w:tcW w:type="dxa" w:w="3866"/>
            <w:vMerge w:val="restart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전환대출 보증</w:t>
            </w:r>
          </w:p>
        </w:tc>
      </w:tr>
      <w:tr>
        <w:trPr>
          <w:trHeight w:hRule="exact" w:val="396"/>
        </w:trPr>
        <w:tc>
          <w:tcPr>
            <w:tcW w:type="dxa" w:w="1945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13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장기금융</w:t>
            </w:r>
          </w:p>
        </w:tc>
        <w:tc>
          <w:tcPr>
            <w:tcW w:type="dxa" w:w="170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4,282</w:t>
            </w:r>
          </w:p>
        </w:tc>
        <w:tc>
          <w:tcPr>
            <w:tcW w:type="dxa" w:w="170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3,578</w:t>
            </w:r>
          </w:p>
        </w:tc>
        <w:tc>
          <w:tcPr>
            <w:tcW w:type="dxa" w:w="1945"/>
            <w:vMerge/>
            <w:tcBorders>
              <w:start w:sz="2.0" w:val="single" w:color="#221F1F"/>
              <w:top w:sz="2.0" w:val="single" w:color="#221F1F"/>
              <w:bottom w:sz="2.0" w:val="single" w:color="#221F1F"/>
            </w:tcBorders>
          </w:tcPr>
          <w:p/>
        </w:tc>
      </w:tr>
      <w:tr>
        <w:trPr>
          <w:trHeight w:hRule="exact" w:val="398"/>
        </w:trPr>
        <w:tc>
          <w:tcPr>
            <w:tcW w:type="dxa" w:w="2274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</w:p>
        </w:tc>
        <w:tc>
          <w:tcPr>
            <w:tcW w:type="dxa" w:w="170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185,367</w:t>
            </w:r>
          </w:p>
        </w:tc>
        <w:tc>
          <w:tcPr>
            <w:tcW w:type="dxa" w:w="170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8,932</w:t>
            </w:r>
          </w:p>
        </w:tc>
        <w:tc>
          <w:tcPr>
            <w:tcW w:type="dxa" w:w="3866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0"/>
        <w:ind w:left="122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국가결산보고서」를 참고하여 재작성.</w:t>
      </w:r>
    </w:p>
    <w:p>
      <w:pPr>
        <w:autoSpaceDN w:val="0"/>
        <w:autoSpaceDE w:val="0"/>
        <w:widowControl/>
        <w:spacing w:line="180" w:lineRule="exact" w:before="722" w:after="0"/>
        <w:ind w:left="122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06</w:t>
      </w:r>
    </w:p>
    <w:p>
      <w:pPr>
        <w:sectPr>
          <w:pgSz w:w="11906" w:h="16838"/>
          <w:pgMar w:top="0" w:right="1170" w:bottom="332" w:left="10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0"/>
        <w:ind w:left="0" w:right="0"/>
      </w:pPr>
    </w:p>
    <w:p>
      <w:pPr>
        <w:autoSpaceDN w:val="0"/>
        <w:tabs>
          <w:tab w:pos="218" w:val="left"/>
          <w:tab w:pos="272" w:val="left"/>
          <w:tab w:pos="276" w:val="left"/>
          <w:tab w:pos="284" w:val="left"/>
          <w:tab w:pos="438" w:val="left"/>
          <w:tab w:pos="444" w:val="left"/>
        </w:tabs>
        <w:autoSpaceDE w:val="0"/>
        <w:widowControl/>
        <w:spacing w:line="240" w:lineRule="auto" w:before="0" w:after="516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파생상품 내역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미래예상거래의 현금흐름변동위험을 회피하는 계약에서 발생하는 평가손익은 순자산변동표의 조정항목 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 파생상품평가손익으로 처리하며, 주석 사항에도 파생상품 내역을 기재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14)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통화관련 파생상품으로 통화선도, 통화스왑, 매입통화옵션, 매도통화옵션, 환변동보험이 존재하며 이자율관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련 파생상품으로 이자율스왑, 이자율변동보험이 존재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순자산변동은 고정순자산이 아닌 순자산의 증감분이며, 모두 위험회피목적으로 발생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0.0" w:type="dxa"/>
      </w:tblPr>
      <w:tblGrid>
        <w:gridCol w:w="4845"/>
        <w:gridCol w:w="4845"/>
      </w:tblGrid>
      <w:tr>
        <w:trPr>
          <w:trHeight w:hRule="exact" w:val="402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60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6&gt; 파생상품 내역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384"/>
        <w:gridCol w:w="1384"/>
        <w:gridCol w:w="1384"/>
        <w:gridCol w:w="1384"/>
        <w:gridCol w:w="1384"/>
        <w:gridCol w:w="1384"/>
        <w:gridCol w:w="1384"/>
      </w:tblGrid>
      <w:tr>
        <w:trPr>
          <w:trHeight w:hRule="exact" w:val="314"/>
        </w:trPr>
        <w:tc>
          <w:tcPr>
            <w:tcW w:type="dxa" w:w="1140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49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통화 관련</w:t>
            </w:r>
          </w:p>
        </w:tc>
        <w:tc>
          <w:tcPr>
            <w:tcW w:type="dxa" w:w="4196"/>
            <w:gridSpan w:val="3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당해연도(FY2020)</w:t>
            </w:r>
          </w:p>
        </w:tc>
        <w:tc>
          <w:tcPr>
            <w:tcW w:type="dxa" w:w="4202"/>
            <w:gridSpan w:val="3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직전연도(FY2019)</w:t>
            </w:r>
          </w:p>
        </w:tc>
      </w:tr>
      <w:tr>
        <w:trPr>
          <w:trHeight w:hRule="exact" w:val="310"/>
        </w:trPr>
        <w:tc>
          <w:tcPr>
            <w:tcW w:type="dxa" w:w="1384"/>
            <w:vMerge/>
            <w:tcBorders>
              <w:bottom w:sz="2.0" w:val="single" w:color="#221F1F"/>
            </w:tcBorders>
          </w:tcPr>
          <w:p/>
        </w:tc>
        <w:tc>
          <w:tcPr>
            <w:tcW w:type="dxa" w:w="1476"/>
            <w:vMerge w:val="restart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순자산변동</w:t>
            </w:r>
          </w:p>
          <w:p>
            <w:pPr>
              <w:autoSpaceDN w:val="0"/>
              <w:autoSpaceDE w:val="0"/>
              <w:widowControl/>
              <w:spacing w:line="168" w:lineRule="auto" w:before="340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5,536</w:t>
            </w:r>
          </w:p>
        </w:tc>
        <w:tc>
          <w:tcPr>
            <w:tcW w:type="dxa" w:w="2720"/>
            <w:gridSpan w:val="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기말잔액</w:t>
            </w:r>
          </w:p>
        </w:tc>
        <w:tc>
          <w:tcPr>
            <w:tcW w:type="dxa" w:w="1474"/>
            <w:vMerge w:val="restart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순자산변동</w:t>
            </w:r>
          </w:p>
          <w:p>
            <w:pPr>
              <w:autoSpaceDN w:val="0"/>
              <w:autoSpaceDE w:val="0"/>
              <w:widowControl/>
              <w:spacing w:line="168" w:lineRule="auto" w:before="340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4,765</w:t>
            </w:r>
          </w:p>
        </w:tc>
        <w:tc>
          <w:tcPr>
            <w:tcW w:type="dxa" w:w="2728"/>
            <w:gridSpan w:val="2"/>
            <w:tcBorders>
              <w:start w:sz="2.0" w:val="single" w:color="#FFFFFF"/>
              <w:top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기말잔액</w:t>
            </w:r>
          </w:p>
        </w:tc>
      </w:tr>
      <w:tr>
        <w:trPr>
          <w:trHeight w:hRule="exact" w:val="710"/>
        </w:trPr>
        <w:tc>
          <w:tcPr>
            <w:tcW w:type="dxa" w:w="1384"/>
            <w:vMerge/>
            <w:tcBorders>
              <w:bottom w:sz="2.0" w:val="single" w:color="#221F1F"/>
            </w:tcBorders>
          </w:tcPr>
          <w:p/>
        </w:tc>
        <w:tc>
          <w:tcPr>
            <w:tcW w:type="dxa" w:w="1384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136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4" w:val="left"/>
              </w:tabs>
              <w:autoSpaceDE w:val="0"/>
              <w:widowControl/>
              <w:spacing w:line="259" w:lineRule="auto" w:before="74" w:after="0"/>
              <w:ind w:left="53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자산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127,139</w:t>
            </w:r>
          </w:p>
        </w:tc>
        <w:tc>
          <w:tcPr>
            <w:tcW w:type="dxa" w:w="136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6" w:val="left"/>
              </w:tabs>
              <w:autoSpaceDE w:val="0"/>
              <w:widowControl/>
              <w:spacing w:line="259" w:lineRule="auto" w:before="74" w:after="0"/>
              <w:ind w:left="50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부채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1,621,821</w:t>
            </w:r>
          </w:p>
        </w:tc>
        <w:tc>
          <w:tcPr>
            <w:tcW w:type="dxa" w:w="1384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1362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8" w:val="left"/>
              </w:tabs>
              <w:autoSpaceDE w:val="0"/>
              <w:widowControl/>
              <w:spacing w:line="259" w:lineRule="auto" w:before="74" w:after="0"/>
              <w:ind w:left="534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자산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97,015</w:t>
            </w:r>
          </w:p>
        </w:tc>
        <w:tc>
          <w:tcPr>
            <w:tcW w:type="dxa" w:w="1366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4" w:val="left"/>
              </w:tabs>
              <w:autoSpaceDE w:val="0"/>
              <w:widowControl/>
              <w:spacing w:line="259" w:lineRule="auto" w:before="74" w:after="0"/>
              <w:ind w:left="536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부채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518,050</w:t>
            </w:r>
          </w:p>
        </w:tc>
      </w:tr>
      <w:tr>
        <w:trPr>
          <w:trHeight w:hRule="exact" w:val="398"/>
        </w:trPr>
        <w:tc>
          <w:tcPr>
            <w:tcW w:type="dxa" w:w="1140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이자율 관련</w:t>
            </w:r>
          </w:p>
        </w:tc>
        <w:tc>
          <w:tcPr>
            <w:tcW w:type="dxa" w:w="14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789</w:t>
            </w:r>
          </w:p>
        </w:tc>
        <w:tc>
          <w:tcPr>
            <w:tcW w:type="dxa" w:w="136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17,873</w:t>
            </w:r>
          </w:p>
        </w:tc>
        <w:tc>
          <w:tcPr>
            <w:tcW w:type="dxa" w:w="136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78,050</w:t>
            </w:r>
          </w:p>
        </w:tc>
        <w:tc>
          <w:tcPr>
            <w:tcW w:type="dxa" w:w="1474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2,276</w:t>
            </w:r>
          </w:p>
        </w:tc>
        <w:tc>
          <w:tcPr>
            <w:tcW w:type="dxa" w:w="136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10,719</w:t>
            </w:r>
          </w:p>
        </w:tc>
        <w:tc>
          <w:tcPr>
            <w:tcW w:type="dxa" w:w="1366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34,252</w:t>
            </w:r>
          </w:p>
        </w:tc>
      </w:tr>
      <w:tr>
        <w:trPr>
          <w:trHeight w:hRule="exact" w:val="394"/>
        </w:trPr>
        <w:tc>
          <w:tcPr>
            <w:tcW w:type="dxa" w:w="1140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</w:p>
        </w:tc>
        <w:tc>
          <w:tcPr>
            <w:tcW w:type="dxa" w:w="147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6,325</w:t>
            </w:r>
          </w:p>
        </w:tc>
        <w:tc>
          <w:tcPr>
            <w:tcW w:type="dxa" w:w="136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6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145,012</w:t>
            </w:r>
          </w:p>
        </w:tc>
        <w:tc>
          <w:tcPr>
            <w:tcW w:type="dxa" w:w="136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5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1,699,871</w:t>
            </w:r>
          </w:p>
        </w:tc>
        <w:tc>
          <w:tcPr>
            <w:tcW w:type="dxa" w:w="1474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5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7,041</w:t>
            </w:r>
          </w:p>
        </w:tc>
        <w:tc>
          <w:tcPr>
            <w:tcW w:type="dxa" w:w="136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107,735</w:t>
            </w:r>
          </w:p>
        </w:tc>
        <w:tc>
          <w:tcPr>
            <w:tcW w:type="dxa" w:w="1366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552,302</w:t>
            </w:r>
          </w:p>
        </w:tc>
      </w:tr>
    </w:tbl>
    <w:p>
      <w:pPr>
        <w:autoSpaceDN w:val="0"/>
        <w:autoSpaceDE w:val="0"/>
        <w:widowControl/>
        <w:spacing w:line="168" w:lineRule="auto" w:before="188" w:after="0"/>
        <w:ind w:left="8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국가결산보고서」를 참고하여 재작성.</w:t>
      </w:r>
    </w:p>
    <w:p>
      <w:pPr>
        <w:autoSpaceDN w:val="0"/>
        <w:tabs>
          <w:tab w:pos="218" w:val="left"/>
          <w:tab w:pos="272" w:val="left"/>
          <w:tab w:pos="276" w:val="left"/>
          <w:tab w:pos="284" w:val="left"/>
          <w:tab w:pos="438" w:val="left"/>
          <w:tab w:pos="444" w:val="left"/>
        </w:tabs>
        <w:autoSpaceDE w:val="0"/>
        <w:widowControl/>
        <w:spacing w:line="240" w:lineRule="auto" w:before="732" w:after="416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지급보증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지급보증이란 피보증처의 부채에 대해 지급을 보증하는 것으로 피보증처가 부채를 상환하지 못하는 경우 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대신 상환하는 것을 말하며, 국가의 지급보증 중 보증채무는 원채무자의 상환능력이 없는 경우 국민의 재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정부담을 초래할 수 있어 국가채무에 준하는 관리 필요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15)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2020회계연도 말 기준, 기획재정부와 국가보훈처 보증채무 규모는 각각 12.5조원, 0.6조원으로, 구성내역은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&lt;표7&gt;과 같음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0.0" w:type="dxa"/>
      </w:tblPr>
      <w:tblGrid>
        <w:gridCol w:w="4845"/>
        <w:gridCol w:w="4845"/>
      </w:tblGrid>
      <w:tr>
        <w:trPr>
          <w:trHeight w:hRule="exact" w:val="394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67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7&gt; 지급보증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422"/>
        <w:gridCol w:w="2422"/>
        <w:gridCol w:w="2422"/>
        <w:gridCol w:w="2422"/>
      </w:tblGrid>
      <w:tr>
        <w:trPr>
          <w:trHeight w:hRule="exact" w:val="740"/>
        </w:trPr>
        <w:tc>
          <w:tcPr>
            <w:tcW w:type="dxa" w:w="1652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972" w:type="dxa"/>
            </w:tblPr>
            <w:tblGrid>
              <w:gridCol w:w="1652"/>
            </w:tblGrid>
            <w:tr>
              <w:trPr>
                <w:trHeight w:hRule="exact" w:val="340"/>
              </w:trPr>
              <w:tc>
                <w:tcPr>
                  <w:tcW w:type="dxa" w:w="1372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262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중앙관서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5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기획재정부</w:t>
            </w:r>
          </w:p>
        </w:tc>
        <w:tc>
          <w:tcPr>
            <w:tcW w:type="dxa" w:w="31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92" w:after="0"/>
              <w:ind w:left="432" w:right="432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보증 구분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예보상환기금채권(예금보험공사)</w:t>
            </w:r>
          </w:p>
        </w:tc>
        <w:tc>
          <w:tcPr>
            <w:tcW w:type="dxa" w:w="238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96" w:val="left"/>
              </w:tabs>
              <w:autoSpaceDE w:val="0"/>
              <w:widowControl/>
              <w:spacing w:line="266" w:lineRule="auto" w:before="92" w:after="0"/>
              <w:ind w:left="59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당해연도(FY2020)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1,480,000</w:t>
            </w:r>
          </w:p>
        </w:tc>
        <w:tc>
          <w:tcPr>
            <w:tcW w:type="dxa" w:w="23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90" w:val="left"/>
              </w:tabs>
              <w:autoSpaceDE w:val="0"/>
              <w:widowControl/>
              <w:spacing w:line="266" w:lineRule="auto" w:before="92" w:after="0"/>
              <w:ind w:left="60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직전연도(FY2019)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3,880,000</w:t>
            </w:r>
          </w:p>
        </w:tc>
      </w:tr>
      <w:tr>
        <w:trPr>
          <w:trHeight w:hRule="exact" w:val="396"/>
        </w:trPr>
        <w:tc>
          <w:tcPr>
            <w:tcW w:type="dxa" w:w="2422"/>
            <w:vMerge/>
            <w:tcBorders>
              <w:bottom w:sz="2.0" w:val="single" w:color="#221F1F"/>
            </w:tcBorders>
          </w:tcPr>
          <w:p/>
        </w:tc>
        <w:tc>
          <w:tcPr>
            <w:tcW w:type="dxa" w:w="31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한국장학재단채권(한국장학재단)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10,490,000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10,880,000</w:t>
            </w:r>
          </w:p>
        </w:tc>
      </w:tr>
      <w:tr>
        <w:trPr>
          <w:trHeight w:hRule="exact" w:val="396"/>
        </w:trPr>
        <w:tc>
          <w:tcPr>
            <w:tcW w:type="dxa" w:w="2422"/>
            <w:vMerge/>
            <w:tcBorders>
              <w:bottom w:sz="2.0" w:val="single" w:color="#221F1F"/>
            </w:tcBorders>
          </w:tcPr>
          <w:p/>
        </w:tc>
        <w:tc>
          <w:tcPr>
            <w:tcW w:type="dxa" w:w="31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수리자금(한국농어촌공사)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520,000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  <w:tr>
        <w:trPr>
          <w:trHeight w:hRule="exact" w:val="398"/>
        </w:trPr>
        <w:tc>
          <w:tcPr>
            <w:tcW w:type="dxa" w:w="165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국가보훈처</w:t>
            </w:r>
          </w:p>
        </w:tc>
        <w:tc>
          <w:tcPr>
            <w:tcW w:type="dxa" w:w="311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장기저리 대부(시중은행, 2건)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559,489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576,383</w:t>
            </w:r>
          </w:p>
        </w:tc>
      </w:tr>
      <w:tr>
        <w:trPr>
          <w:trHeight w:hRule="exact" w:val="396"/>
        </w:trPr>
        <w:tc>
          <w:tcPr>
            <w:tcW w:type="dxa" w:w="4770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13,049,489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15,336,383</w:t>
            </w:r>
          </w:p>
        </w:tc>
      </w:tr>
    </w:tbl>
    <w:p>
      <w:pPr>
        <w:autoSpaceDN w:val="0"/>
        <w:autoSpaceDE w:val="0"/>
        <w:widowControl/>
        <w:spacing w:line="245" w:lineRule="auto" w:before="170" w:after="518"/>
        <w:ind w:left="8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국가보훈처와 피보증처의 협약에 따른 양수도 대상 채권의 양수 사유(6개월 이상 미납된 대부 원리금 등) 발생 시 국가유공자 등 대출자를 대신하여 은행에 양수금액을 지급.</w:t>
      </w: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국가결산보고서」를 참고하여 재작성.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45"/>
        <w:gridCol w:w="4845"/>
      </w:tblGrid>
      <w:tr>
        <w:trPr>
          <w:trHeight w:hRule="exact" w:val="68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정부는 파생상품의 계약에 따라 발생된 권리와 의무를 공정가액으로 평가하여 자산·부채로 계상하고 있으며, 동 계약으로부터 발생한 평가손익은 발생시점에 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3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재정운영순원가에 반영하고 있다.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따라서 주석의 ‘비고’란에 국가채무관리보고서상 보증채무에 해당되는지 여부 등을 기재해야 한다.</w:t>
            </w:r>
          </w:p>
        </w:tc>
      </w:tr>
    </w:tbl>
    <w:p>
      <w:pPr>
        <w:autoSpaceDN w:val="0"/>
        <w:autoSpaceDE w:val="0"/>
        <w:widowControl/>
        <w:spacing w:line="180" w:lineRule="exact" w:before="652" w:after="0"/>
        <w:ind w:left="0" w:right="78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07</w:t>
      </w:r>
    </w:p>
    <w:p>
      <w:pPr>
        <w:sectPr>
          <w:pgSz w:w="11906" w:h="16838"/>
          <w:pgMar w:top="810" w:right="1056" w:bottom="332" w:left="1160" w:header="720" w:footer="720" w:gutter="0"/>
          <w:cols/>
          <w:docGrid w:linePitch="360"/>
        </w:sectPr>
      </w:pPr>
    </w:p>
    <w:p>
      <w:pPr>
        <w:autoSpaceDN w:val="0"/>
        <w:tabs>
          <w:tab w:pos="224" w:val="left"/>
          <w:tab w:pos="278" w:val="left"/>
          <w:tab w:pos="282" w:val="left"/>
          <w:tab w:pos="290" w:val="left"/>
          <w:tab w:pos="444" w:val="left"/>
          <w:tab w:pos="452" w:val="left"/>
        </w:tabs>
        <w:autoSpaceDE w:val="0"/>
        <w:widowControl/>
        <w:spacing w:line="418" w:lineRule="exact" w:before="1512" w:after="508"/>
        <w:ind w:left="94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중요한 계약사항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중요한 계약사항은 시설물 준공, 대규모 시설 운영 및 임대, 금융업무 위탁 등 계약 중요도가 높은 계약 사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항에 대해 건설공사계약, 업무위탁계약, 기타계약으로 구분하여 공시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건설공사계약으로 극장, 박물관 등 건립 또는 건설사업 관리 용역 등, 업무위탁계약으로 리조트, 골프장 등 관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리</w:t>
      </w:r>
      <w:r>
        <w:rPr>
          <w:w w:val="98.18181991577148"/>
          <w:rFonts w:ascii="NanumGothicOTF" w:hAnsi="NanumGothicOTF" w:eastAsia="NanumGothicOTF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운영, 기금업무 위탁 등, 기타 계약으로 임대형 민간투자사업, 주파수이용권부여 등의 계약 체결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4838"/>
        <w:gridCol w:w="4838"/>
      </w:tblGrid>
      <w:tr>
        <w:trPr>
          <w:trHeight w:hRule="exact" w:val="402"/>
        </w:trPr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53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8&gt; 중요한 계약사항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97" w:type="dxa"/>
      </w:tblPr>
      <w:tblGrid>
        <w:gridCol w:w="2419"/>
        <w:gridCol w:w="2419"/>
        <w:gridCol w:w="2419"/>
        <w:gridCol w:w="2419"/>
      </w:tblGrid>
      <w:tr>
        <w:trPr>
          <w:trHeight w:hRule="exact" w:val="1420"/>
        </w:trPr>
        <w:tc>
          <w:tcPr>
            <w:tcW w:type="dxa" w:w="136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85" w:type="dxa"/>
            </w:tblPr>
            <w:tblGrid>
              <w:gridCol w:w="1368"/>
            </w:tblGrid>
            <w:tr>
              <w:trPr>
                <w:trHeight w:hRule="exact" w:val="340"/>
              </w:trPr>
              <w:tc>
                <w:tcPr>
                  <w:tcW w:type="dxa" w:w="1086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260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45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건설공사 계약</w:t>
            </w:r>
          </w:p>
        </w:tc>
        <w:tc>
          <w:tcPr>
            <w:tcW w:type="dxa" w:w="175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중앙관서</w:t>
            </w:r>
          </w:p>
          <w:p>
            <w:pPr>
              <w:autoSpaceDN w:val="0"/>
              <w:autoSpaceDE w:val="0"/>
              <w:widowControl/>
              <w:spacing w:line="168" w:lineRule="auto" w:before="53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문화체육관광부</w:t>
            </w:r>
          </w:p>
        </w:tc>
        <w:tc>
          <w:tcPr>
            <w:tcW w:type="dxa" w:w="442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계약 사항</w:t>
            </w:r>
          </w:p>
          <w:p>
            <w:pPr>
              <w:autoSpaceDN w:val="0"/>
              <w:autoSpaceDE w:val="0"/>
              <w:widowControl/>
              <w:spacing w:line="245" w:lineRule="auto" w:before="318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국립극장 해오름극장 리모델링, 국립익산박물관 건립, 국립국악원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공연연습장 건립공사, 국립세계문자박물관 건축 공사, 국립민속박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물관 이전건립</w:t>
            </w:r>
          </w:p>
        </w:tc>
        <w:tc>
          <w:tcPr>
            <w:tcW w:type="dxa" w:w="19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비고(계약 규모 등)</w:t>
            </w:r>
          </w:p>
          <w:p>
            <w:pPr>
              <w:autoSpaceDN w:val="0"/>
              <w:autoSpaceDE w:val="0"/>
              <w:widowControl/>
              <w:spacing w:line="245" w:lineRule="auto" w:before="318" w:after="0"/>
              <w:ind w:left="288" w:right="288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187,140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(건설 사업관리 용역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또는 건립 용역)</w:t>
            </w:r>
          </w:p>
        </w:tc>
      </w:tr>
      <w:tr>
        <w:trPr>
          <w:trHeight w:hRule="exact" w:val="1076"/>
        </w:trPr>
        <w:tc>
          <w:tcPr>
            <w:tcW w:type="dxa" w:w="1368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업무위탁 계약</w:t>
            </w:r>
          </w:p>
        </w:tc>
        <w:tc>
          <w:tcPr>
            <w:tcW w:type="dxa" w:w="175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인사혁신처</w:t>
            </w:r>
          </w:p>
        </w:tc>
        <w:tc>
          <w:tcPr>
            <w:tcW w:type="dxa" w:w="442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6" w:after="0"/>
              <w:ind w:left="166" w:right="124" w:hanging="2"/>
              <w:jc w:val="both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천안상록리조트 관리·운영, 화성,남원,김해상록골프장 관리·운영,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수안보상록호텔 관리·운영, 공무원연금공단 제주본부 및 서울사옥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관리, 공무원연금 금융업무 시중은행 위탁</w:t>
            </w:r>
          </w:p>
        </w:tc>
        <w:tc>
          <w:tcPr>
            <w:tcW w:type="dxa" w:w="1990"/>
            <w:vMerge w:val="restart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  <w:tr>
        <w:trPr>
          <w:trHeight w:hRule="exact" w:val="850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문화체육관광부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6" w:after="0"/>
              <w:ind w:left="164" w:right="0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뉴서울골프장 운영 및 관리, 관광진흥개발기금 산업은행 대여업무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취급약정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2.0" w:val="single" w:color="#221F1F"/>
            </w:tcBorders>
          </w:tcPr>
          <w:p/>
        </w:tc>
      </w:tr>
      <w:tr>
        <w:trPr>
          <w:trHeight w:hRule="exact" w:val="852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금융위원회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6" w:after="0"/>
              <w:ind w:left="166" w:right="14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주택신용보증기금 보증업무 시중은행 위탁, 예보채상환기금 경영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정상화 이행 약정, 신용보증기금 기금업무 시중은행 위탁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2.0" w:val="single" w:color="#221F1F"/>
            </w:tcBorders>
          </w:tcPr>
          <w:p/>
        </w:tc>
      </w:tr>
      <w:tr>
        <w:trPr>
          <w:trHeight w:hRule="exact" w:val="624"/>
        </w:trPr>
        <w:tc>
          <w:tcPr>
            <w:tcW w:type="dxa" w:w="1368"/>
            <w:vMerge w:val="restart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계약</w:t>
            </w:r>
          </w:p>
        </w:tc>
        <w:tc>
          <w:tcPr>
            <w:tcW w:type="dxa" w:w="1758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문화체육관광부</w:t>
            </w:r>
          </w:p>
        </w:tc>
        <w:tc>
          <w:tcPr>
            <w:tcW w:type="dxa" w:w="4422"/>
            <w:tcBorders>
              <w:start w:sz="2.0" w:val="single" w:color="#221F1F"/>
              <w:top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전시장 건물 임대보증금 반환</w:t>
            </w:r>
          </w:p>
        </w:tc>
        <w:tc>
          <w:tcPr>
            <w:tcW w:type="dxa" w:w="1990"/>
            <w:vMerge w:val="restart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3,395,869</w:t>
            </w:r>
          </w:p>
        </w:tc>
      </w:tr>
      <w:tr>
        <w:trPr>
          <w:trHeight w:hRule="exact" w:val="623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고용노동부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임대형 민간투자사업(대학교 공학관, 기숙사)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</w:tcPr>
          <w:p/>
        </w:tc>
      </w:tr>
      <w:tr>
        <w:trPr>
          <w:trHeight w:hRule="exact" w:val="622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국가보훈처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광복회관 준공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</w:tcPr>
          <w:p/>
        </w:tc>
      </w:tr>
      <w:tr>
        <w:trPr>
          <w:trHeight w:hRule="exact" w:val="624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방위사업청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무기체계 관련 계약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</w:tcPr>
          <w:p/>
        </w:tc>
      </w:tr>
      <w:tr>
        <w:trPr>
          <w:trHeight w:hRule="exact" w:val="624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해양경찰청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선박건조 관련 계약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</w:tcPr>
          <w:p/>
        </w:tc>
      </w:tr>
      <w:tr>
        <w:trPr>
          <w:trHeight w:hRule="exact" w:val="624"/>
        </w:trPr>
        <w:tc>
          <w:tcPr>
            <w:tcW w:type="dxa" w:w="2419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758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과학기술정보통신부</w:t>
            </w:r>
          </w:p>
        </w:tc>
        <w:tc>
          <w:tcPr>
            <w:tcW w:type="dxa" w:w="4422"/>
            <w:tcBorders>
              <w:start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주파수이용권부여계약</w:t>
            </w:r>
          </w:p>
        </w:tc>
        <w:tc>
          <w:tcPr>
            <w:tcW w:type="dxa" w:w="2419"/>
            <w:vMerge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</w:tcPr>
          <w:p/>
        </w:tc>
      </w:tr>
    </w:tbl>
    <w:p>
      <w:pPr>
        <w:autoSpaceDN w:val="0"/>
        <w:autoSpaceDE w:val="0"/>
        <w:widowControl/>
        <w:spacing w:line="168" w:lineRule="auto" w:before="180" w:after="0"/>
        <w:ind w:left="9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계약규모는 명시적으로 공시된 것만 표기.</w:t>
      </w:r>
    </w:p>
    <w:p>
      <w:pPr>
        <w:autoSpaceDN w:val="0"/>
        <w:autoSpaceDE w:val="0"/>
        <w:widowControl/>
        <w:spacing w:line="168" w:lineRule="auto" w:before="50" w:after="1434"/>
        <w:ind w:left="9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국가결산보고서」를 참고하여 재작성.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38"/>
        <w:gridCol w:w="4838"/>
      </w:tblGrid>
      <w:tr>
        <w:trPr>
          <w:trHeight w:hRule="exact" w:val="88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482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326" w:right="4" w:hanging="250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최소운영수입보장(Minimum Revenue Guarantee, MRG) 제도는 현재 표준비용보전(Standard Cost Support, SCS) 제도로 재구조화되어 많이 사용되는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추세이다. SCS는 비용이 운영수입을 초과하는 경우 차액분만큼 지원해주는 방식을 채택하고 있다. 민간투자사업 방식은 네가지로 BTO(Build-Transfer-Operate)란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민간투자사업 방식 중 하나이며, 사회기반시설이 준공과 동시에 국가에 귀속되고 사업시행자가 관리하는 방식으로 연관 사업 방식에는 BTL(Build-Transfer-Lease),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BOO(Build-Own-Operate), BOT(Build-Own-Transfer)가 존재한다.</w:t>
            </w:r>
          </w:p>
        </w:tc>
      </w:tr>
    </w:tbl>
    <w:p>
      <w:pPr>
        <w:autoSpaceDN w:val="0"/>
        <w:autoSpaceDE w:val="0"/>
        <w:widowControl/>
        <w:spacing w:line="180" w:lineRule="exact" w:before="644" w:after="0"/>
        <w:ind w:left="9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08</w:t>
      </w:r>
    </w:p>
    <w:p>
      <w:pPr>
        <w:sectPr>
          <w:pgSz w:w="11906" w:h="16838"/>
          <w:pgMar w:top="0" w:right="1190" w:bottom="332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</w:p>
    <w:p>
      <w:pPr>
        <w:autoSpaceDN w:val="0"/>
        <w:tabs>
          <w:tab w:pos="140" w:val="left"/>
          <w:tab w:pos="194" w:val="left"/>
          <w:tab w:pos="198" w:val="left"/>
          <w:tab w:pos="206" w:val="left"/>
          <w:tab w:pos="360" w:val="left"/>
          <w:tab w:pos="368" w:val="left"/>
        </w:tabs>
        <w:autoSpaceDE w:val="0"/>
        <w:widowControl/>
        <w:spacing w:line="286" w:lineRule="auto" w:before="0" w:after="516"/>
        <w:ind w:left="10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최소운영수입보장(BTO 등)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최소운영수입보장 제도란 주로 BTO 민간투자사업 중 실시협약서 상 추정 수입보다 실제 수입이 미치지 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못하는 경우 정부가 최소운영수입을 보장해 주는 제도를 말함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16)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국토교통부, 해양수산부의 민간투자사업 중 협약 상 최소운영수입을 보장하는 사업은 2020회계연도 말 기준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16건 존재하며, 협약 내용은 &lt;표9&gt;와 같음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2.0" w:type="dxa"/>
      </w:tblPr>
      <w:tblGrid>
        <w:gridCol w:w="4807"/>
        <w:gridCol w:w="4807"/>
      </w:tblGrid>
      <w:tr>
        <w:trPr>
          <w:trHeight w:hRule="exact" w:val="402"/>
        </w:trPr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35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9&gt; 최소운영수입보장(BTO 등)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602"/>
        <w:gridCol w:w="1602"/>
        <w:gridCol w:w="1602"/>
        <w:gridCol w:w="1602"/>
        <w:gridCol w:w="1602"/>
        <w:gridCol w:w="1602"/>
      </w:tblGrid>
      <w:tr>
        <w:trPr>
          <w:trHeight w:hRule="exact" w:val="342"/>
        </w:trPr>
        <w:tc>
          <w:tcPr>
            <w:tcW w:type="dxa" w:w="688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8" w:lineRule="auto" w:before="6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도로</w:t>
            </w:r>
          </w:p>
        </w:tc>
        <w:tc>
          <w:tcPr>
            <w:tcW w:type="dxa" w:w="3912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사업명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66" w:right="576" w:firstLine="2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인천국제공항고속도로, 천안-논산고속도로,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대구-부산고속도로, 수도권제1순환고속도로,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부산-울산고속도로, 서울-춘천고속도로, 인천대교</w:t>
            </w:r>
          </w:p>
        </w:tc>
        <w:tc>
          <w:tcPr>
            <w:tcW w:type="dxa" w:w="1702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보장기간</w:t>
            </w:r>
          </w:p>
          <w:p>
            <w:pPr>
              <w:autoSpaceDN w:val="0"/>
              <w:autoSpaceDE w:val="0"/>
              <w:widowControl/>
              <w:spacing w:line="168" w:lineRule="auto" w:before="53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계약 체결일로부터 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15~30년</w:t>
            </w:r>
          </w:p>
        </w:tc>
        <w:tc>
          <w:tcPr>
            <w:tcW w:type="dxa" w:w="3238"/>
            <w:gridSpan w:val="3"/>
            <w:tcBorders>
              <w:start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지급액</w:t>
            </w:r>
          </w:p>
        </w:tc>
      </w:tr>
      <w:tr>
        <w:trPr>
          <w:trHeight w:hRule="exact" w:val="1290"/>
        </w:trPr>
        <w:tc>
          <w:tcPr>
            <w:tcW w:type="dxa" w:w="1602"/>
            <w:vMerge/>
            <w:tcBorders>
              <w:bottom w:sz="2.0" w:val="single" w:color="#221F1F"/>
            </w:tcBorders>
          </w:tcPr>
          <w:p/>
        </w:tc>
        <w:tc>
          <w:tcPr>
            <w:tcW w:type="dxa" w:w="1602"/>
            <w:vMerge/>
            <w:tcBorders>
              <w:bottom w:sz="2.0" w:val="single" w:color="#221F1F"/>
            </w:tcBorders>
          </w:tcPr>
          <w:p/>
        </w:tc>
        <w:tc>
          <w:tcPr>
            <w:tcW w:type="dxa" w:w="1602"/>
            <w:vMerge/>
            <w:tcBorders>
              <w:bottom w:sz="2.0" w:val="single" w:color="#221F1F"/>
            </w:tcBorders>
          </w:tcPr>
          <w:p/>
        </w:tc>
        <w:tc>
          <w:tcPr>
            <w:tcW w:type="dxa" w:w="1076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2020년</w:t>
            </w:r>
          </w:p>
          <w:p>
            <w:pPr>
              <w:autoSpaceDN w:val="0"/>
              <w:autoSpaceDE w:val="0"/>
              <w:widowControl/>
              <w:spacing w:line="168" w:lineRule="auto" w:before="4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411,616</w:t>
            </w:r>
          </w:p>
        </w:tc>
        <w:tc>
          <w:tcPr>
            <w:tcW w:type="dxa" w:w="1078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2019년</w:t>
            </w:r>
          </w:p>
          <w:p>
            <w:pPr>
              <w:autoSpaceDN w:val="0"/>
              <w:autoSpaceDE w:val="0"/>
              <w:widowControl/>
              <w:spacing w:line="168" w:lineRule="auto" w:before="4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297,100</w:t>
            </w:r>
          </w:p>
        </w:tc>
        <w:tc>
          <w:tcPr>
            <w:tcW w:type="dxa" w:w="1084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2018년</w:t>
            </w:r>
          </w:p>
          <w:p>
            <w:pPr>
              <w:autoSpaceDN w:val="0"/>
              <w:autoSpaceDE w:val="0"/>
              <w:widowControl/>
              <w:spacing w:line="168" w:lineRule="auto" w:before="4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258,300</w:t>
            </w:r>
          </w:p>
        </w:tc>
      </w:tr>
      <w:tr>
        <w:trPr>
          <w:trHeight w:hRule="exact" w:val="510"/>
        </w:trPr>
        <w:tc>
          <w:tcPr>
            <w:tcW w:type="dxa" w:w="6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철도</w:t>
            </w:r>
          </w:p>
        </w:tc>
        <w:tc>
          <w:tcPr>
            <w:tcW w:type="dxa" w:w="39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신분당선복선전철(강남-정자)</w:t>
            </w:r>
          </w:p>
        </w:tc>
        <w:tc>
          <w:tcPr>
            <w:tcW w:type="dxa" w:w="170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2011.10.부터 10년</w:t>
            </w:r>
          </w:p>
        </w:tc>
        <w:tc>
          <w:tcPr>
            <w:tcW w:type="dxa" w:w="107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07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08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</w:tr>
      <w:tr>
        <w:trPr>
          <w:trHeight w:hRule="exact" w:val="1172"/>
        </w:trPr>
        <w:tc>
          <w:tcPr>
            <w:tcW w:type="dxa" w:w="68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항만</w:t>
            </w:r>
          </w:p>
        </w:tc>
        <w:tc>
          <w:tcPr>
            <w:tcW w:type="dxa" w:w="391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2" w:after="0"/>
              <w:ind w:left="166" w:right="14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울산신항(1-1단계), 목포신외항(1-1단계),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목포신외항(1-2단계), 인천북항(2-1단계),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인천북항일반부두, 평택항다목적부두, 마산항(1-1단계),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포항영일만신항(1-1단계)</w:t>
            </w:r>
          </w:p>
        </w:tc>
        <w:tc>
          <w:tcPr>
            <w:tcW w:type="dxa" w:w="170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92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대부분 2023, 2024,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2025년까지</w:t>
            </w:r>
          </w:p>
        </w:tc>
        <w:tc>
          <w:tcPr>
            <w:tcW w:type="dxa" w:w="107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102,102</w:t>
            </w:r>
          </w:p>
        </w:tc>
        <w:tc>
          <w:tcPr>
            <w:tcW w:type="dxa" w:w="107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42,525,763</w:t>
            </w:r>
          </w:p>
        </w:tc>
        <w:tc>
          <w:tcPr>
            <w:tcW w:type="dxa" w:w="108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91,715,992</w:t>
            </w:r>
          </w:p>
        </w:tc>
      </w:tr>
    </w:tbl>
    <w:p>
      <w:pPr>
        <w:autoSpaceDN w:val="0"/>
        <w:autoSpaceDE w:val="0"/>
        <w:widowControl/>
        <w:spacing w:line="168" w:lineRule="auto" w:before="180" w:after="0"/>
        <w:ind w:left="1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철도계정(신분당선복선전철 사업 해당)은 지급액 미공시.</w:t>
      </w:r>
    </w:p>
    <w:p>
      <w:pPr>
        <w:autoSpaceDN w:val="0"/>
        <w:autoSpaceDE w:val="0"/>
        <w:widowControl/>
        <w:spacing w:line="168" w:lineRule="auto" w:before="50" w:after="0"/>
        <w:ind w:left="1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대한민국정부, 「2020회계연도 국가결산보고서」를 참고하여 재작성. </w:t>
      </w:r>
    </w:p>
    <w:p>
      <w:pPr>
        <w:autoSpaceDN w:val="0"/>
        <w:tabs>
          <w:tab w:pos="140" w:val="left"/>
          <w:tab w:pos="194" w:val="left"/>
          <w:tab w:pos="198" w:val="left"/>
          <w:tab w:pos="360" w:val="left"/>
          <w:tab w:pos="368" w:val="left"/>
        </w:tabs>
        <w:autoSpaceDE w:val="0"/>
        <w:widowControl/>
        <w:spacing w:line="300" w:lineRule="auto" w:before="992" w:after="516"/>
        <w:ind w:left="10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기타 우발부채에 대한 내용, 자원의 유출에 따른 재무적 영향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대표적으로 장기임차토지의 원상회복의무, 공공금융비용, 공공손실부담 등이 해당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공공금융비용은 수자원공사와 지하철공사등 정부의 공기업 및 지방자치단체에 대한 비용 지원을, 공공손실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부담은 철도운영자의 공공서비스 제공으로 발생하는 손실부담계약 등 공공목적으로 운영되는 서비스의 손해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발생에 대한 부담금을 의미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이밖에 국민연금기금에 해외 부동산 투자 목적의 자금보충약정 체결 건이 존재하며, 여성가족부는 청소년수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련원 임차 계약 종료 후에 토지 원상회복의무 비용 발생 예정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2.0" w:type="dxa"/>
      </w:tblPr>
      <w:tblGrid>
        <w:gridCol w:w="4807"/>
        <w:gridCol w:w="4807"/>
      </w:tblGrid>
      <w:tr>
        <w:trPr>
          <w:trHeight w:hRule="exact" w:val="402"/>
        </w:trPr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15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10&gt; 기타 우발부채에 대한 내용, 자원의 유출에 따른 재무적 영향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3"/>
        <w:gridCol w:w="2403"/>
        <w:gridCol w:w="2403"/>
        <w:gridCol w:w="2403"/>
      </w:tblGrid>
      <w:tr>
        <w:trPr>
          <w:trHeight w:hRule="exact" w:val="740"/>
        </w:trPr>
        <w:tc>
          <w:tcPr>
            <w:tcW w:type="dxa" w:w="2388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0085" w:type="dxa"/>
            </w:tblPr>
            <w:tblGrid>
              <w:gridCol w:w="2388"/>
            </w:tblGrid>
            <w:tr>
              <w:trPr>
                <w:trHeight w:hRule="exact" w:val="340"/>
              </w:trPr>
              <w:tc>
                <w:tcPr>
                  <w:tcW w:type="dxa" w:w="1856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520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3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공공금융비용</w:t>
            </w:r>
          </w:p>
        </w:tc>
        <w:tc>
          <w:tcPr>
            <w:tcW w:type="dxa" w:w="238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92" w:after="0"/>
              <w:ind w:left="720" w:right="72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중앙관서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수자원공사</w:t>
            </w:r>
          </w:p>
        </w:tc>
        <w:tc>
          <w:tcPr>
            <w:tcW w:type="dxa" w:w="238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20" w:val="left"/>
              </w:tabs>
              <w:autoSpaceDE w:val="0"/>
              <w:widowControl/>
              <w:spacing w:line="266" w:lineRule="auto" w:before="92" w:after="0"/>
              <w:ind w:left="592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당해연도(FY2020)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340,000</w:t>
            </w:r>
          </w:p>
        </w:tc>
        <w:tc>
          <w:tcPr>
            <w:tcW w:type="dxa" w:w="23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20" w:val="left"/>
              </w:tabs>
              <w:autoSpaceDE w:val="0"/>
              <w:widowControl/>
              <w:spacing w:line="266" w:lineRule="auto" w:before="92" w:after="0"/>
              <w:ind w:left="60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 xml:space="preserve">직전연도(FY2019) 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340,000</w:t>
            </w:r>
          </w:p>
        </w:tc>
      </w:tr>
      <w:tr>
        <w:trPr>
          <w:trHeight w:hRule="exact" w:val="396"/>
        </w:trPr>
        <w:tc>
          <w:tcPr>
            <w:tcW w:type="dxa" w:w="2403"/>
            <w:vMerge/>
            <w:tcBorders>
              <w:bottom w:sz="2.0" w:val="single" w:color="#221F1F"/>
            </w:tcBorders>
          </w:tcPr>
          <w:p/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지하철공사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2,623</w:t>
            </w:r>
          </w:p>
        </w:tc>
      </w:tr>
      <w:tr>
        <w:trPr>
          <w:trHeight w:hRule="exact" w:val="398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공공손실부담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국토교통부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352,800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352,800</w:t>
            </w:r>
          </w:p>
        </w:tc>
      </w:tr>
      <w:tr>
        <w:trPr>
          <w:trHeight w:hRule="exact" w:val="394"/>
        </w:trPr>
        <w:tc>
          <w:tcPr>
            <w:tcW w:type="dxa" w:w="4770"/>
            <w:gridSpan w:val="2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692,800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695,423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대한민국정부, 「2020회계연도 국가결산보고서」를 참고하여 재작성.</w:t>
      </w:r>
    </w:p>
    <w:p>
      <w:pPr>
        <w:autoSpaceDN w:val="0"/>
        <w:autoSpaceDE w:val="0"/>
        <w:widowControl/>
        <w:spacing w:line="180" w:lineRule="exact" w:before="710" w:after="0"/>
        <w:ind w:left="0" w:right="80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09</w:t>
      </w:r>
    </w:p>
    <w:p>
      <w:pPr>
        <w:sectPr>
          <w:pgSz w:w="11906" w:h="16838"/>
          <w:pgMar w:top="810" w:right="1054" w:bottom="33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4861"/>
        <w:gridCol w:w="4861"/>
      </w:tblGrid>
      <w:tr>
        <w:trPr>
          <w:trHeight w:hRule="exact" w:val="1162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04</w:t>
            </w:r>
          </w:p>
        </w:tc>
        <w:tc>
          <w:tcPr>
            <w:tcW w:type="dxa" w:w="6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38" w:after="0"/>
              <w:ind w:left="4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국제기준(GFS)에 근거한 우발부채 분류 재검토</w:t>
            </w:r>
          </w:p>
        </w:tc>
      </w:tr>
    </w:tbl>
    <w:p>
      <w:pPr>
        <w:autoSpaceDN w:val="0"/>
        <w:tabs>
          <w:tab w:pos="252" w:val="left"/>
          <w:tab w:pos="306" w:val="left"/>
          <w:tab w:pos="310" w:val="left"/>
          <w:tab w:pos="318" w:val="left"/>
          <w:tab w:pos="472" w:val="left"/>
          <w:tab w:pos="478" w:val="left"/>
        </w:tabs>
        <w:autoSpaceDE w:val="0"/>
        <w:widowControl/>
        <w:spacing w:line="293" w:lineRule="auto" w:before="308" w:after="0"/>
        <w:ind w:left="122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GFSM2014는 우발부채 범주에 관해 상세하게 논의하고 있으며, PSDS도 이와 동일한 개념 적용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재정통계 매뉴얼(GFSM)은 IMF에서 정부의 재정상태표와 재정운영표의 투명성 및 신뢰성 향상을 위해 제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정한 국제기준으로, 일반정부를 대상으로 재정통계를 작성하는 기준을 제공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GFSM2014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17)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에서는 국제회계기준(IFRS), 국제공공부문회계기준(IPSAS), 국가회계기준 등에서 정의하는 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발부채의 개념을 보다 구체화하여 명시적으로 기술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IMF에서 발행한 공공부문부채통계(PSDS)도 GFSM2014와 동일한 우발부채 개념을 적용하고 있음</w:t>
      </w:r>
    </w:p>
    <w:p>
      <w:pPr>
        <w:autoSpaceDN w:val="0"/>
        <w:tabs>
          <w:tab w:pos="252" w:val="left"/>
          <w:tab w:pos="306" w:val="left"/>
          <w:tab w:pos="310" w:val="left"/>
          <w:tab w:pos="318" w:val="left"/>
          <w:tab w:pos="472" w:val="left"/>
          <w:tab w:pos="478" w:val="left"/>
        </w:tabs>
        <w:autoSpaceDE w:val="0"/>
        <w:widowControl/>
        <w:spacing w:line="302" w:lineRule="auto" w:before="1044" w:after="0"/>
        <w:ind w:left="122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GFSM2014는 우발부채를 크게 명시적(explicit) 우발부채와 암묵적(implicit) 우발부채로 구분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‘명시적 우발부채’는 규정된 조건 발생시 경제적 가치의 지급을 요구하는 법적 또는 계약에 의한 금융협정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으로서, ‘(일회성) 보증’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18)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과 그 외에 ‘기타 명시적 우발부채’로 구분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명시적 우발부채의 보편적인 형태는 ‘보증’이지만 모든 보증이 우발부채로 분류되는 것은 아닌데, 예컨대 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생금융상품 형태의 보증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19)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과 표준화 보증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20)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은 ‘부채’로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일회성 보증(one-off guarantees)은 표준화 보증과는 달리 개별적이고 보증인이 보전요구의 위험성에 대해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신뢰성 있는 추정을 할 수 없으며, 따라서 대부분 일회성 보증은 보증인의 우발부채로 간주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기타 명시적 우발부채로는 잠재적인 법적 청구권, 배상금, 미불입 주식자본 등 있음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21)</w:t>
      </w:r>
    </w:p>
    <w:p>
      <w:pPr>
        <w:autoSpaceDN w:val="0"/>
        <w:tabs>
          <w:tab w:pos="252" w:val="left"/>
          <w:tab w:pos="306" w:val="left"/>
          <w:tab w:pos="318" w:val="left"/>
          <w:tab w:pos="472" w:val="left"/>
          <w:tab w:pos="478" w:val="left"/>
        </w:tabs>
        <w:autoSpaceDE w:val="0"/>
        <w:widowControl/>
        <w:spacing w:line="290" w:lineRule="auto" w:before="316" w:after="1082"/>
        <w:ind w:left="12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‘암묵적 우발부채’는 법적 또는 계약에 의해 발생하는 것이 아니라 특정 조건이나 사건의 실현으로 인식되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며, ‘미래사회보장급여에 대한 순의무’, ‘기타 암묵적 우발부채’로 구분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미래사회보장급여에 대한 순의무는 계약상의 부채는 아니며 미래 발생 비용으로 여겨지는 사회보장급여로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재정상태표에 기록하지 않음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기타 암묵적 우발부채는 암묵적 우발부채 중 미래사회보장급여에 대한 순의무를 제외한 나머지가 해당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861"/>
        <w:gridCol w:w="4861"/>
      </w:tblGrid>
      <w:tr>
        <w:trPr>
          <w:trHeight w:hRule="exact" w:val="268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16256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62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4" w:val="left"/>
                <w:tab w:pos="328" w:val="left"/>
              </w:tabs>
              <w:autoSpaceDE w:val="0"/>
              <w:widowControl/>
              <w:spacing w:line="245" w:lineRule="auto" w:before="66" w:after="0"/>
              <w:ind w:left="7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GFSM은 1986년 첫 발간 이래 현재까지 총 2차례(2001년, 2014년)의 개정이 있었다. 특히, GFSM 2001은 전면 개정을 통해 현재의 발생주의 기준 GFS체계를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구축하였으며, GFSM2014는 SNA, PSDS 등 다른 국제통계기준과 부합하도록 더 구체화했다.</w:t>
            </w:r>
          </w:p>
          <w:p>
            <w:pPr>
              <w:autoSpaceDN w:val="0"/>
              <w:tabs>
                <w:tab w:pos="324" w:val="left"/>
                <w:tab w:pos="328" w:val="left"/>
              </w:tabs>
              <w:autoSpaceDE w:val="0"/>
              <w:widowControl/>
              <w:spacing w:line="245" w:lineRule="auto" w:before="50" w:after="0"/>
              <w:ind w:left="7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보증(guarantees)은 명시적 우발부채의 가장 보편적 형태이나 모든 보증이 우발부채에 해당하는 것은 아니다. 예컨대 ‘파생금융상품 형태의 보증’이나 ‘표준화된 보증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제도하에서 설정하는 충당부채 형태의 보증’은 재정상태표에 부채로 기록한다.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19)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신용부도 스왑(CDS) 등 파생금융상품을 통해 제공되는 보증은 (다른 파생금융상품과 마찬가지로) 금융자산 및 부채(liabilities)이나 채무(debt)에는 포함되지 않는다. </w:t>
            </w:r>
          </w:p>
          <w:p>
            <w:pPr>
              <w:autoSpaceDN w:val="0"/>
              <w:tabs>
                <w:tab w:pos="324" w:val="left"/>
                <w:tab w:pos="328" w:val="left"/>
              </w:tabs>
              <w:autoSpaceDE w:val="0"/>
              <w:widowControl/>
              <w:spacing w:line="245" w:lineRule="auto" w:before="50" w:after="0"/>
              <w:ind w:left="78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하지만 이들 계약이 공공부문 단위의 부채에 포함되고 상당한 손실이 발생할 수 있으므로 파생금융상품 정보를 채무통계와 함께 기록할 것을 권고하고 있다. 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20)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표준화 보증(standardized guarantees)은 통상 아주 적은 금액에 대해 획일적 조건으로 대규모로 발행하는 보증을 말하며, 수출(무역)신용 보증, 환보증, 다양한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종류의 보험(예금, 농작물, 자연재해 등), 농민융자, 모기지론, 학자금융자, 중소기업융자 등이 있다. 주로 유사한 특징을 지니고 위험 분산을 목적으로 하는 보증들이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많으며 보증인은 확률통계에 기반하여 평균손실(채무불이행률)을 추정할 수 있는데, 이러한 채무불이행률로 인해 공공부문의 우발부채가 아니라 표준화 보증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충당부채로 인식한다.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328" w:right="18" w:hanging="250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21)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잠재적 법적청구권은 계류 중인 법정 소송사건에서 비롯되는 청구권을, 배상금(보상금)은 다른 당사자가 입을 수 있는 손실 또는 손상의 위험을 수용하는 약속으로,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예를 들어 정부와 기타 단위 간의 계약에서 발생하는 예기치 못한 조세채무에 따른 배상을, 미불입 자본은 주주로 있는 실체(국제금융기관 등)의 요구에 따라 추가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자본을 제공해야 할 의무를 말한다.</w:t>
            </w:r>
          </w:p>
        </w:tc>
      </w:tr>
    </w:tbl>
    <w:p>
      <w:pPr>
        <w:autoSpaceDN w:val="0"/>
        <w:autoSpaceDE w:val="0"/>
        <w:widowControl/>
        <w:spacing w:line="180" w:lineRule="exact" w:before="632" w:after="0"/>
        <w:ind w:left="118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10</w:t>
      </w:r>
    </w:p>
    <w:p>
      <w:pPr>
        <w:sectPr>
          <w:pgSz w:w="11906" w:h="16838"/>
          <w:pgMar w:top="0" w:right="1168" w:bottom="332" w:left="10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1270000</wp:posOffset>
            </wp:positionV>
            <wp:extent cx="6057900" cy="82423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242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928"/>
        <w:ind w:left="0" w:right="0" w:firstLine="0"/>
        <w:jc w:val="center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 xml:space="preserve">&lt;그림 1&gt; GFSM의 부채와 우발부채 분류 체계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0.0" w:type="dxa"/>
      </w:tblPr>
      <w:tblGrid>
        <w:gridCol w:w="2385"/>
        <w:gridCol w:w="2385"/>
        <w:gridCol w:w="2385"/>
        <w:gridCol w:w="2385"/>
      </w:tblGrid>
      <w:tr>
        <w:trPr>
          <w:trHeight w:hRule="exact" w:val="230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18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부채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4" w:after="0"/>
              <w:ind w:left="0" w:right="13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명시적 우발부채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우발부채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4" w:after="0"/>
              <w:ind w:left="15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암묵적 우발부채</w:t>
            </w:r>
          </w:p>
        </w:tc>
      </w:tr>
      <w:tr>
        <w:trPr>
          <w:trHeight w:hRule="exact" w:val="1468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98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Liabilities</w:t>
            </w:r>
          </w:p>
        </w:tc>
        <w:tc>
          <w:tcPr>
            <w:tcW w:type="dxa" w:w="2385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Contingent liabilities</w:t>
            </w:r>
          </w:p>
        </w:tc>
        <w:tc>
          <w:tcPr>
            <w:tcW w:type="dxa" w:w="23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1908"/>
        <w:gridCol w:w="1908"/>
        <w:gridCol w:w="1908"/>
        <w:gridCol w:w="1908"/>
        <w:gridCol w:w="1908"/>
      </w:tblGrid>
      <w:tr>
        <w:trPr>
          <w:trHeight w:hRule="exact" w:val="652"/>
        </w:trPr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08" w:after="0"/>
              <w:ind w:left="57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파생금융상품 형태의 보증</w:t>
            </w:r>
          </w:p>
        </w:tc>
        <w:tc>
          <w:tcPr>
            <w:tcW w:type="dxa" w:w="3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Explicit contingent liabilities</w:t>
            </w:r>
          </w:p>
        </w:tc>
        <w:tc>
          <w:tcPr>
            <w:tcW w:type="dxa" w:w="3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55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Implicit contingent liabilities</w:t>
            </w:r>
          </w:p>
        </w:tc>
      </w:tr>
      <w:tr>
        <w:trPr>
          <w:trHeight w:hRule="exact" w:val="676"/>
        </w:trPr>
        <w:tc>
          <w:tcPr>
            <w:tcW w:type="dxa" w:w="1908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10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Guarantees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0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명시적 우발부채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Other explicit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contingent liabilities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미래사회보장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0" w:after="0"/>
              <w:ind w:left="24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기타 암묵적 </w:t>
            </w:r>
          </w:p>
        </w:tc>
      </w:tr>
      <w:tr>
        <w:trPr>
          <w:trHeight w:hRule="exact" w:val="204"/>
        </w:trPr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급여에 대한 순의무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33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우발부채</w:t>
            </w:r>
          </w:p>
        </w:tc>
      </w:tr>
      <w:tr>
        <w:trPr>
          <w:trHeight w:hRule="exact" w:val="220"/>
        </w:trPr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Net implicit obligations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Other Implicit </w:t>
            </w:r>
          </w:p>
        </w:tc>
      </w:tr>
      <w:tr>
        <w:trPr>
          <w:trHeight w:hRule="exact" w:val="220"/>
        </w:trPr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908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for future social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contingent </w:t>
            </w:r>
          </w:p>
        </w:tc>
      </w:tr>
      <w:tr>
        <w:trPr>
          <w:trHeight w:hRule="exact" w:val="1432"/>
        </w:trPr>
        <w:tc>
          <w:tcPr>
            <w:tcW w:type="dxa" w:w="1908"/>
            <w:vMerge/>
            <w:tcBorders/>
          </w:tcPr>
          <w:p/>
        </w:tc>
        <w:tc>
          <w:tcPr>
            <w:tcW w:type="dxa" w:w="3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36" w:after="0"/>
              <w:ind w:left="0" w:right="6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일회성 보증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security benefits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31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liabilities</w:t>
            </w:r>
          </w:p>
        </w:tc>
      </w:tr>
    </w:tbl>
    <w:p>
      <w:pPr>
        <w:autoSpaceDN w:val="0"/>
        <w:tabs>
          <w:tab w:pos="1224" w:val="left"/>
          <w:tab w:pos="5288" w:val="left"/>
          <w:tab w:pos="5390" w:val="left"/>
        </w:tabs>
        <w:autoSpaceDE w:val="0"/>
        <w:widowControl/>
        <w:spacing w:line="245" w:lineRule="auto" w:before="24" w:after="0"/>
        <w:ind w:left="992" w:right="3312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Guarantees in the form of </w:t>
      </w: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One-off </w:t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financial derivatives </w:t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guarantees</w:t>
      </w:r>
    </w:p>
    <w:p>
      <w:pPr>
        <w:autoSpaceDN w:val="0"/>
        <w:tabs>
          <w:tab w:pos="3926" w:val="left"/>
        </w:tabs>
        <w:autoSpaceDE w:val="0"/>
        <w:widowControl/>
        <w:spacing w:line="168" w:lineRule="auto" w:before="1074" w:after="26"/>
        <w:ind w:left="1172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표준화된 보증제도 하의 </w:t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융자 및 기타 채무상품보증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3181"/>
        <w:gridCol w:w="3181"/>
        <w:gridCol w:w="3181"/>
      </w:tblGrid>
      <w:tr>
        <w:trPr>
          <w:trHeight w:hRule="exact" w:val="204"/>
        </w:trPr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구상권 충당부채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66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(공적보증채무)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25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일회성 보증</w:t>
            </w:r>
          </w:p>
        </w:tc>
      </w:tr>
      <w:tr>
        <w:trPr>
          <w:trHeight w:hRule="exact" w:val="220"/>
        </w:trPr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Provisions for calls under 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36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Loan and other debt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2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Other one-off</w:t>
            </w:r>
          </w:p>
        </w:tc>
      </w:tr>
      <w:tr>
        <w:trPr>
          <w:trHeight w:hRule="exact" w:val="220"/>
        </w:trPr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standardized guarantee 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60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instrument guarantees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3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guarantees</w:t>
            </w:r>
          </w:p>
        </w:tc>
      </w:tr>
      <w:tr>
        <w:trPr>
          <w:trHeight w:hRule="exact" w:val="270"/>
        </w:trPr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schemes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48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(publicly guaranteed debt)</w:t>
            </w:r>
          </w:p>
        </w:tc>
        <w:tc>
          <w:tcPr>
            <w:tcW w:type="dxa" w:w="31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924" w:after="0"/>
        <w:ind w:left="944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기타</w:t>
      </w:r>
    </w:p>
    <w:p>
      <w:pPr>
        <w:autoSpaceDN w:val="0"/>
        <w:tabs>
          <w:tab w:pos="1012" w:val="left"/>
          <w:tab w:pos="1014" w:val="left"/>
          <w:tab w:pos="1016" w:val="left"/>
          <w:tab w:pos="1020" w:val="left"/>
        </w:tabs>
        <w:autoSpaceDE w:val="0"/>
        <w:widowControl/>
        <w:spacing w:line="245" w:lineRule="auto" w:before="108" w:after="0"/>
        <w:ind w:left="976" w:right="6624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특별인출권(SDRs)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통화 및 예금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채무증권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융자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비생명보험 책임준비금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생명보험 및 연금분할금 수급권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연금수급권, 연금관리 주체에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대한 연금기금 청구권 등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지분 및 투자기금주식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기타 파생금융상품 및 피용자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스톡옵션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기타 미지급 계정 </w:t>
      </w:r>
    </w:p>
    <w:p>
      <w:pPr>
        <w:autoSpaceDN w:val="0"/>
        <w:autoSpaceDE w:val="0"/>
        <w:widowControl/>
        <w:spacing w:line="168" w:lineRule="auto" w:before="894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자료: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IMF, (2017), 「Government Finance Statistics Manual 2014」, 그림 7.2.</w:t>
      </w:r>
    </w:p>
    <w:p>
      <w:pPr>
        <w:autoSpaceDN w:val="0"/>
        <w:autoSpaceDE w:val="0"/>
        <w:widowControl/>
        <w:spacing w:line="180" w:lineRule="exact" w:before="706" w:after="0"/>
        <w:ind w:left="0" w:right="20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11</w:t>
      </w:r>
    </w:p>
    <w:p>
      <w:pPr>
        <w:sectPr>
          <w:pgSz w:w="11906" w:h="16838"/>
          <w:pgMar w:top="810" w:right="1114" w:bottom="332" w:left="1250" w:header="720" w:footer="720" w:gutter="0"/>
          <w:cols/>
          <w:docGrid w:linePitch="360"/>
        </w:sectPr>
      </w:pPr>
    </w:p>
    <w:p>
      <w:pPr>
        <w:autoSpaceDN w:val="0"/>
        <w:tabs>
          <w:tab w:pos="226" w:val="left"/>
          <w:tab w:pos="254" w:val="left"/>
          <w:tab w:pos="282" w:val="left"/>
          <w:tab w:pos="292" w:val="left"/>
          <w:tab w:pos="448" w:val="left"/>
          <w:tab w:pos="454" w:val="left"/>
        </w:tabs>
        <w:autoSpaceDE w:val="0"/>
        <w:widowControl/>
        <w:spacing w:line="298" w:lineRule="auto" w:before="1622" w:after="0"/>
        <w:ind w:left="96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명시적 우발부채 중 일회성 보증은 ‘융자 및 기타 채무상품 보증’과 ‘기타 일회성 보증’으로 구분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융자 및 기타 채무상품 보증은 공공 및 민간부문 단위의 채무로, 공공부문 단위가 계약에 의해 지급을 보증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하는 공적보증채무(publicly guaranteed debt)에 해당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융자 및 기타 채무상품 보증(지급에 대한 일회성 보증)은 한 당사자가 다른 당사자의 미지급에 대한 위험을 부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담하는 확약으로, 채무를 불이행하는 경우에만 지급 요구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공적보증채무는 보증인이 기타 공공부문과 민간부문 단위 기존 채무의 원리금 상환을 보증한다는 점에서 다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른 일회성 보증과는 구분되며, 재정정책 및 분석에서 중요</w:t>
      </w:r>
    </w:p>
    <w:p>
      <w:pPr>
        <w:autoSpaceDN w:val="0"/>
        <w:tabs>
          <w:tab w:pos="226" w:val="left"/>
          <w:tab w:pos="282" w:val="left"/>
          <w:tab w:pos="448" w:val="left"/>
          <w:tab w:pos="454" w:val="left"/>
        </w:tabs>
        <w:autoSpaceDE w:val="0"/>
        <w:widowControl/>
        <w:spacing w:line="298" w:lineRule="auto" w:before="318" w:after="0"/>
        <w:ind w:left="9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기타 일회성 보증에는 신용보증, 조건부 ‘신용 가용성’ 보증, 조건부 신용지원 등이 있음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신용보증(융자한도와 차입약정)은 인출하지 않은 자금을 미래에 사용할 수 있도록 해주는 보증으로 자금이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실제로 제공되기 전까지는 금융부채가 존재하지 않으므로 미인출 신용한도나 미제공된 차입약정은 은행(발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행기관)의 우발부채로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인수된 증권발행보증(NIFs)은 인수기관이 자금을 선지급한 경우에만 자산/부채로 분류하고 사용하지 않은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부분은 우발부채로 간주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22)</w:t>
      </w:r>
    </w:p>
    <w:p>
      <w:pPr>
        <w:autoSpaceDN w:val="0"/>
        <w:tabs>
          <w:tab w:pos="226" w:val="left"/>
          <w:tab w:pos="282" w:val="left"/>
          <w:tab w:pos="286" w:val="left"/>
          <w:tab w:pos="448" w:val="left"/>
          <w:tab w:pos="454" w:val="left"/>
        </w:tabs>
        <w:autoSpaceDE w:val="0"/>
        <w:widowControl/>
        <w:spacing w:line="290" w:lineRule="auto" w:before="1044" w:after="0"/>
        <w:ind w:left="96" w:right="0" w:firstLine="0"/>
        <w:jc w:val="left"/>
      </w:pPr>
      <w:r>
        <w:tab/>
      </w: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암묵적 우발부채는 ‘미래사회보장급여에 대한 순의무’와 ‘기타 암묵적 우발부채’로 구분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암묵적 우발부채는 법적 또는 계약 상 원천이 아닌 특정 조건 혹은 사건이 실현될 시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암묵적 우발부채는 고용관련 연금제도와 관련되는 부채는 제외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23)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고용관련 연금제도 이외의 사회보장제도는 납부한 보험료와 결국 지불해야 할 급여 간에 직접적인 관계가 없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다고 여겨 정부의 계약상 부채를 초래하지 않는 것으로 간주하며, 우발부채로 인식</w:t>
      </w:r>
    </w:p>
    <w:p>
      <w:pPr>
        <w:autoSpaceDN w:val="0"/>
        <w:tabs>
          <w:tab w:pos="226" w:val="left"/>
          <w:tab w:pos="282" w:val="left"/>
          <w:tab w:pos="292" w:val="left"/>
          <w:tab w:pos="448" w:val="left"/>
          <w:tab w:pos="454" w:val="left"/>
        </w:tabs>
        <w:autoSpaceDE w:val="0"/>
        <w:widowControl/>
        <w:spacing w:line="281" w:lineRule="auto" w:before="316" w:after="0"/>
        <w:ind w:left="9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미래사회보장급여에 대한 순의무는 계약상의 부채는 아니나 미래 발생 비용으로 여겨지는 사회보장급여를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의미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미래사회보장급여에 대한 순의무는 현행법과 규정에 따라 이미 가입자가 획득한 미래 급여의 현재가치에서 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현행법과 규정에 따른 사회보장제도의 미래보험료의 순현재가치를 차감한 것을 인식</w:t>
      </w:r>
    </w:p>
    <w:p>
      <w:pPr>
        <w:autoSpaceDN w:val="0"/>
        <w:tabs>
          <w:tab w:pos="226" w:val="left"/>
          <w:tab w:pos="282" w:val="left"/>
          <w:tab w:pos="448" w:val="left"/>
          <w:tab w:pos="454" w:val="left"/>
        </w:tabs>
        <w:autoSpaceDE w:val="0"/>
        <w:widowControl/>
        <w:spacing w:line="283" w:lineRule="auto" w:before="318" w:after="942"/>
        <w:ind w:left="96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기타 암묵적 우발부채는 암묵적 우발부채 중 미래사회보장급여에 대한 순의무를 차감하여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기타 암묵적 우발부채로는 채무불이행 시 은행부문의 상환 또는 주 및 지방정부나 중앙은행의 의무보장,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환경부채(environmental liabilities), 공공부문의 무보증채무, 기타 공공부문의 보증제공 실패시 보증의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무, 자연재해 구호비용 등이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0"/>
        <w:gridCol w:w="4850"/>
      </w:tblGrid>
      <w:tr>
        <w:trPr>
          <w:trHeight w:hRule="exact" w:val="90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4953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49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0" w:val="left"/>
                <w:tab w:pos="326" w:val="left"/>
              </w:tabs>
              <w:autoSpaceDE w:val="0"/>
              <w:widowControl/>
              <w:spacing w:line="245" w:lineRule="auto" w:before="82" w:after="0"/>
              <w:ind w:left="7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22)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우발신용 또는 매입지원보증을 제공하는 기타증권담보보증은 회전인수보증(RUFs), 다중옵션보증(MOFs), 글로벌증권보증(GNFs) 등으로 은행 및 은행 이외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금융기관이 제공하는데, 이러한 보증 중 사용되지 않은 금액은 우발부채에 해당한다.</w:t>
            </w:r>
          </w:p>
          <w:p>
            <w:pPr>
              <w:autoSpaceDN w:val="0"/>
              <w:tabs>
                <w:tab w:pos="320" w:val="left"/>
                <w:tab w:pos="326" w:val="left"/>
              </w:tabs>
              <w:autoSpaceDE w:val="0"/>
              <w:widowControl/>
              <w:spacing w:line="245" w:lineRule="auto" w:before="50" w:after="0"/>
              <w:ind w:left="7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15"/>
              </w:rPr>
              <w:t xml:space="preserve">23)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고용관련 연금제도에 따라 발생한 추정의무는 정부의 피용자에 대한 계약상 부채로 간주하며, 이런 제도의 실제 또는 추정된 보험료는 부채 부담을 초래하는 것으로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보며 퇴직급여의 지급은 부채의 감소로 간주한다.</w:t>
            </w:r>
          </w:p>
        </w:tc>
      </w:tr>
    </w:tbl>
    <w:p>
      <w:pPr>
        <w:autoSpaceDN w:val="0"/>
        <w:autoSpaceDE w:val="0"/>
        <w:widowControl/>
        <w:spacing w:line="180" w:lineRule="exact" w:before="632" w:after="0"/>
        <w:ind w:left="9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12</w:t>
      </w:r>
    </w:p>
    <w:p>
      <w:pPr>
        <w:sectPr>
          <w:pgSz w:w="11906" w:h="16838"/>
          <w:pgMar w:top="0" w:right="1166" w:bottom="332" w:left="10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1270000</wp:posOffset>
            </wp:positionV>
            <wp:extent cx="6057900" cy="56134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61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0"/>
        <w:ind w:left="0" w:right="0" w:firstLine="0"/>
        <w:jc w:val="center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&lt;그림 2&gt; GFSM의 명시적 우발부채와 암묵적 우발부채 내용</w:t>
      </w:r>
    </w:p>
    <w:p>
      <w:pPr>
        <w:autoSpaceDN w:val="0"/>
        <w:autoSpaceDE w:val="0"/>
        <w:widowControl/>
        <w:spacing w:line="245" w:lineRule="auto" w:before="1086" w:after="304"/>
        <w:ind w:left="5148" w:right="720" w:firstLine="32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법적 청구권(계류중인 법정소송사건에서 비롯되는 청구권)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배상금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미불입 주식자본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3203"/>
        <w:gridCol w:w="3203"/>
        <w:gridCol w:w="3203"/>
      </w:tblGrid>
      <w:tr>
        <w:trPr>
          <w:trHeight w:hRule="exact" w:val="244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0" w:right="46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보증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4"/>
              </w:rPr>
              <w:t xml:space="preserve">명시적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0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 xml:space="preserve">기타 </w:t>
            </w:r>
          </w:p>
        </w:tc>
      </w:tr>
      <w:tr>
        <w:trPr>
          <w:trHeight w:hRule="exact" w:val="240"/>
        </w:trPr>
        <w:tc>
          <w:tcPr>
            <w:tcW w:type="dxa" w:w="3203"/>
            <w:vMerge/>
            <w:tcBorders/>
          </w:tcPr>
          <w:p/>
        </w:tc>
        <w:tc>
          <w:tcPr>
            <w:tcW w:type="dxa" w:w="3203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32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 xml:space="preserve">명시적 </w:t>
            </w:r>
          </w:p>
        </w:tc>
      </w:tr>
      <w:tr>
        <w:trPr>
          <w:trHeight w:hRule="exact" w:val="30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8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(일회성 보증)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4"/>
              </w:rPr>
              <w:t>우발부채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25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우발부채</w:t>
            </w:r>
          </w:p>
        </w:tc>
      </w:tr>
    </w:tbl>
    <w:p>
      <w:pPr>
        <w:autoSpaceDN w:val="0"/>
        <w:autoSpaceDE w:val="0"/>
        <w:widowControl/>
        <w:spacing w:line="247" w:lineRule="auto" w:before="636" w:after="0"/>
        <w:ind w:left="7000" w:right="432" w:firstLine="2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채무불이행시 은행부문의 상환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지방정부, 중앙은행 등의 의무보장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공공부문 무보증채무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환경부채, 자연재해 구호비용 등</w:t>
      </w:r>
    </w:p>
    <w:p>
      <w:pPr>
        <w:autoSpaceDN w:val="0"/>
        <w:tabs>
          <w:tab w:pos="958" w:val="left"/>
          <w:tab w:pos="960" w:val="left"/>
          <w:tab w:pos="6560" w:val="left"/>
          <w:tab w:pos="6654" w:val="left"/>
        </w:tabs>
        <w:autoSpaceDE w:val="0"/>
        <w:widowControl/>
        <w:spacing w:line="247" w:lineRule="auto" w:before="372" w:after="50"/>
        <w:ind w:left="928" w:right="2160" w:firstLine="0"/>
        <w:jc w:val="lef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융자 및 기타 채무상품 보증(공적보증채무)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>기타 일회성 보증</w:t>
      </w:r>
      <w:r>
        <w:tab/>
      </w:r>
      <w:r>
        <w:rPr>
          <w:rFonts w:ascii="KoPubDotumBold" w:hAnsi="KoPubDotumBold" w:eastAsia="KoPubDotumBold"/>
          <w:b/>
          <w:i w:val="0"/>
          <w:color w:val="221F1F"/>
          <w:sz w:val="18"/>
        </w:rPr>
        <w:t xml:space="preserve">기타 암묵적 </w:t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- 신용보증(융자와 차입약정)</w:t>
      </w:r>
      <w:r>
        <w:tab/>
      </w:r>
      <w:r>
        <w:rPr>
          <w:rFonts w:ascii="KoPubDotumBold" w:hAnsi="KoPubDotumBold" w:eastAsia="KoPubDotumBold"/>
          <w:b/>
          <w:i w:val="0"/>
          <w:color w:val="221F1F"/>
          <w:sz w:val="18"/>
        </w:rPr>
        <w:t>우발부채</w:t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- 조건부 ‘신용 가용성’ 보증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- 조건부 신용보증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60.0" w:type="dxa"/>
      </w:tblPr>
      <w:tblGrid>
        <w:gridCol w:w="4804"/>
        <w:gridCol w:w="4804"/>
      </w:tblGrid>
      <w:tr>
        <w:trPr>
          <w:trHeight w:hRule="exact" w:val="574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4" w:after="0"/>
              <w:ind w:left="2160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미래사회보장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 xml:space="preserve">급여에 대한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44" w:right="144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4"/>
              </w:rPr>
              <w:t xml:space="preserve">암묵적 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24"/>
              </w:rPr>
              <w:t>우발부채</w:t>
            </w:r>
          </w:p>
        </w:tc>
      </w:tr>
    </w:tbl>
    <w:p>
      <w:pPr>
        <w:autoSpaceDN w:val="0"/>
        <w:autoSpaceDE w:val="0"/>
        <w:widowControl/>
        <w:spacing w:line="168" w:lineRule="auto" w:before="20" w:after="0"/>
        <w:ind w:left="0" w:right="4388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18"/>
        </w:rPr>
        <w:t>순의무</w:t>
      </w:r>
    </w:p>
    <w:p>
      <w:pPr>
        <w:autoSpaceDN w:val="0"/>
        <w:autoSpaceDE w:val="0"/>
        <w:widowControl/>
        <w:spacing w:line="168" w:lineRule="auto" w:before="956" w:after="0"/>
        <w:ind w:left="0" w:right="5272" w:firstLine="0"/>
        <w:jc w:val="right"/>
      </w:pPr>
      <w:r>
        <w:rPr>
          <w:rFonts w:ascii="KoPubDotumLight" w:hAnsi="KoPubDotumLight" w:eastAsia="KoPubDotumLight"/>
          <w:b w:val="0"/>
          <w:i w:val="0"/>
          <w:color w:val="221F1F"/>
          <w:sz w:val="17"/>
        </w:rPr>
        <w:t xml:space="preserve"> 사회보장급여</w:t>
      </w:r>
    </w:p>
    <w:p>
      <w:pPr>
        <w:autoSpaceDN w:val="0"/>
        <w:autoSpaceDE w:val="0"/>
        <w:widowControl/>
        <w:spacing w:line="168" w:lineRule="auto" w:before="1056" w:after="0"/>
        <w:ind w:left="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IMF, 「Government Finance Statistics Manual 2014」에 기초하여 재작성.</w:t>
      </w:r>
    </w:p>
    <w:p>
      <w:pPr>
        <w:autoSpaceDN w:val="0"/>
        <w:autoSpaceDE w:val="0"/>
        <w:widowControl/>
        <w:spacing w:line="240" w:lineRule="auto" w:before="11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GFSM2014 우발부채 분류기준에 대한 국가결산보고서 재무제표상 주석 항목의 재분류 제안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center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주석5의 ④지급보증 및 ②담보제공자산은 ‘일회성 보증’으로, ①계류중인 소송사건(피고), ⑤중요한 계약</w:t>
      </w:r>
    </w:p>
    <w:p>
      <w:pPr>
        <w:autoSpaceDN w:val="0"/>
        <w:autoSpaceDE w:val="0"/>
        <w:widowControl/>
        <w:spacing w:line="168" w:lineRule="auto" w:before="194" w:after="0"/>
        <w:ind w:left="20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사항, ⑦최소운영수입보장, ⑧기타 우발부채는 ‘기타 명시적 우발부채’로 구분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center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보증계약 형태인 ‘지급보증’은 일회성 보증 중에서도 ‘융자 및 기타 채무상품 보증’에 해당하며, 금융계약의 형</w:t>
      </w:r>
    </w:p>
    <w:p>
      <w:pPr>
        <w:autoSpaceDN w:val="0"/>
        <w:autoSpaceDE w:val="0"/>
        <w:widowControl/>
        <w:spacing w:line="168" w:lineRule="auto" w:before="204" w:after="0"/>
        <w:ind w:left="36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태인 담보제공자산은 ‘기타 일회성 보증’에 해당</w:t>
      </w:r>
    </w:p>
    <w:p>
      <w:pPr>
        <w:autoSpaceDN w:val="0"/>
        <w:autoSpaceDE w:val="0"/>
        <w:widowControl/>
        <w:spacing w:line="168" w:lineRule="auto" w:before="204" w:after="0"/>
        <w:ind w:left="13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계류중인 소송사건(피고), 중요한 계약사항, 최소운영수입보장, 공공손실부담, 공공금융비용 등은 계약, 약정, </w:t>
      </w:r>
    </w:p>
    <w:p>
      <w:pPr>
        <w:autoSpaceDN w:val="0"/>
        <w:autoSpaceDE w:val="0"/>
        <w:widowControl/>
        <w:spacing w:line="168" w:lineRule="auto" w:before="204" w:after="0"/>
        <w:ind w:left="36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법률에 관한 사항으로 ‘기타 명시적 우발부채’에 해당 </w:t>
      </w:r>
    </w:p>
    <w:p>
      <w:pPr>
        <w:autoSpaceDN w:val="0"/>
        <w:autoSpaceDE w:val="0"/>
        <w:widowControl/>
        <w:spacing w:line="180" w:lineRule="exact" w:before="906" w:after="0"/>
        <w:ind w:left="0" w:right="76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13</w:t>
      </w:r>
    </w:p>
    <w:p>
      <w:pPr>
        <w:sectPr>
          <w:pgSz w:w="11906" w:h="16838"/>
          <w:pgMar w:top="810" w:right="1058" w:bottom="332" w:left="1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4780"/>
        <w:gridCol w:w="4780"/>
      </w:tblGrid>
      <w:tr>
        <w:trPr>
          <w:trHeight w:hRule="exact" w:val="346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8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주석3의 ①퇴직급여충당부채, ④퇴직수당충당부채는 ‘기타 명시적 우발부채’에 해당</w:t>
            </w:r>
          </w:p>
        </w:tc>
      </w:tr>
    </w:tbl>
    <w:p>
      <w:pPr>
        <w:autoSpaceDN w:val="0"/>
        <w:autoSpaceDE w:val="0"/>
        <w:widowControl/>
        <w:spacing w:line="274" w:lineRule="auto" w:before="134" w:after="548"/>
        <w:ind w:left="366" w:right="28" w:hanging="228"/>
        <w:jc w:val="both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장기충당부채 중 일부는 우발부채로 재분류할 필요가 있는데, 예컨대 국가결산보고서 주석3에서 장기충당부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채로 인식하고 있는 ①퇴직급여충당부채와 ④퇴직수당충당부채는 국가와의 고용계약에 해당하므로 ‘기타 명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시적 우발부채’로 분류되어야 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4.0" w:type="dxa"/>
      </w:tblPr>
      <w:tblGrid>
        <w:gridCol w:w="4780"/>
        <w:gridCol w:w="4780"/>
      </w:tblGrid>
      <w:tr>
        <w:trPr>
          <w:trHeight w:hRule="exact" w:val="402"/>
        </w:trPr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9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11&gt; GFSM2014 기준에 따른 국가결산보고서 우발부채 재분류(안)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백만원)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3"/>
        <w:gridCol w:w="1593"/>
        <w:gridCol w:w="1593"/>
        <w:gridCol w:w="1593"/>
        <w:gridCol w:w="1593"/>
        <w:gridCol w:w="1593"/>
      </w:tblGrid>
      <w:tr>
        <w:trPr>
          <w:trHeight w:hRule="exact" w:val="456"/>
        </w:trPr>
        <w:tc>
          <w:tcPr>
            <w:tcW w:type="dxa" w:w="4260"/>
            <w:gridSpan w:val="3"/>
            <w:tcBorders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GFSM 분류기준</w:t>
            </w:r>
          </w:p>
        </w:tc>
        <w:tc>
          <w:tcPr>
            <w:tcW w:type="dxa" w:w="3686"/>
            <w:gridSpan w:val="2"/>
            <w:tcBorders>
              <w:start w:sz="2.0" w:val="single" w:color="#FFFFFF"/>
              <w:end w:sz="2.0" w:val="single" w:color="#FFFFFF"/>
              <w:bottom w:sz="2.0" w:val="single" w:color="#FFFFFF"/>
            </w:tcBorders>
            <w:shd w:fill="0095d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국가결산보고서</w:t>
            </w:r>
          </w:p>
        </w:tc>
        <w:tc>
          <w:tcPr>
            <w:tcW w:type="dxa" w:w="1594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비고</w:t>
            </w:r>
          </w:p>
          <w:p>
            <w:pPr>
              <w:autoSpaceDN w:val="0"/>
              <w:autoSpaceDE w:val="0"/>
              <w:widowControl/>
              <w:spacing w:line="168" w:lineRule="auto" w:before="62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보증계약</w:t>
            </w:r>
          </w:p>
        </w:tc>
      </w:tr>
      <w:tr>
        <w:trPr>
          <w:trHeight w:hRule="exact" w:val="1162"/>
        </w:trPr>
        <w:tc>
          <w:tcPr>
            <w:tcW w:type="dxa" w:w="972"/>
            <w:vMerge w:val="restart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대분류</w:t>
            </w:r>
          </w:p>
          <w:p>
            <w:pPr>
              <w:autoSpaceDN w:val="0"/>
              <w:autoSpaceDE w:val="0"/>
              <w:widowControl/>
              <w:spacing w:line="168" w:lineRule="auto" w:before="33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명시적</w:t>
            </w:r>
          </w:p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우발부채</w:t>
            </w:r>
          </w:p>
        </w:tc>
        <w:tc>
          <w:tcPr>
            <w:tcW w:type="dxa" w:w="1078"/>
            <w:vMerge w:val="restart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중분류</w:t>
            </w:r>
          </w:p>
          <w:p>
            <w:pPr>
              <w:autoSpaceDN w:val="0"/>
              <w:autoSpaceDE w:val="0"/>
              <w:widowControl/>
              <w:spacing w:line="168" w:lineRule="auto" w:before="75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일회성 보증</w:t>
            </w:r>
          </w:p>
        </w:tc>
        <w:tc>
          <w:tcPr>
            <w:tcW w:type="dxa" w:w="2210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소분류</w:t>
            </w:r>
          </w:p>
          <w:p>
            <w:pPr>
              <w:autoSpaceDN w:val="0"/>
              <w:autoSpaceDE w:val="0"/>
              <w:widowControl/>
              <w:spacing w:line="168" w:lineRule="auto" w:before="4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융자 및 기타 채무상품 보증</w:t>
            </w:r>
          </w:p>
        </w:tc>
        <w:tc>
          <w:tcPr>
            <w:tcW w:type="dxa" w:w="2268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내역</w:t>
            </w:r>
          </w:p>
          <w:p>
            <w:pPr>
              <w:autoSpaceDN w:val="0"/>
              <w:autoSpaceDE w:val="0"/>
              <w:widowControl/>
              <w:spacing w:line="168" w:lineRule="auto" w:before="402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지급보증</w:t>
            </w:r>
          </w:p>
        </w:tc>
        <w:tc>
          <w:tcPr>
            <w:tcW w:type="dxa" w:w="1418"/>
            <w:tcBorders>
              <w:top w:sz="2.0" w:val="single" w:color="#FFFFF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공시 방법</w:t>
            </w:r>
          </w:p>
          <w:p>
            <w:pPr>
              <w:autoSpaceDN w:val="0"/>
              <w:autoSpaceDE w:val="0"/>
              <w:widowControl/>
              <w:spacing w:line="168" w:lineRule="auto" w:before="4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5-④번</w:t>
            </w:r>
          </w:p>
        </w:tc>
        <w:tc>
          <w:tcPr>
            <w:tcW w:type="dxa" w:w="1593"/>
            <w:vMerge/>
            <w:tcBorders>
              <w:bottom w:sz="2.0" w:val="single" w:color="#221F1F"/>
            </w:tcBorders>
          </w:tcPr>
          <w:p/>
        </w:tc>
      </w:tr>
      <w:tr>
        <w:trPr>
          <w:trHeight w:hRule="exact" w:val="708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22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일회성 보증</w:t>
            </w:r>
          </w:p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담보제공자산(채권최고액)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5-②번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금융계약</w:t>
            </w:r>
          </w:p>
        </w:tc>
      </w:tr>
      <w:tr>
        <w:trPr>
          <w:trHeight w:hRule="exact" w:val="710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288"/>
            <w:gridSpan w:val="2"/>
            <w:vMerge w:val="restart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44" w:after="0"/>
              <w:ind w:left="1152" w:right="1152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명시적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우발부채</w:t>
            </w:r>
          </w:p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계류중인 소송사건(피고)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5-①번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법률에 의한 의무</w:t>
            </w:r>
          </w:p>
        </w:tc>
      </w:tr>
      <w:tr>
        <w:trPr>
          <w:trHeight w:hRule="exact" w:val="708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중요한 계약사항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5-⑤번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계약</w:t>
            </w:r>
          </w:p>
        </w:tc>
      </w:tr>
      <w:tr>
        <w:trPr>
          <w:trHeight w:hRule="exact" w:val="708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최소운영수입보장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5-⑦번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민간투자사업 계약</w:t>
            </w:r>
          </w:p>
        </w:tc>
      </w:tr>
      <w:tr>
        <w:trPr>
          <w:trHeight w:hRule="exact" w:val="964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90" w:after="0"/>
              <w:ind w:left="166" w:right="432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우발부채에 대한 내용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(공공금융비용)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5-⑧번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약정</w:t>
            </w:r>
          </w:p>
        </w:tc>
      </w:tr>
      <w:tr>
        <w:trPr>
          <w:trHeight w:hRule="exact" w:val="964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90" w:after="0"/>
              <w:ind w:left="166" w:right="432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 우발부채에 대한 내용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(공공손실부담)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5-⑧번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법률</w:t>
            </w:r>
          </w:p>
        </w:tc>
      </w:tr>
      <w:tr>
        <w:trPr>
          <w:trHeight w:hRule="exact" w:val="708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퇴직급여충당부채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3-①번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고용계약</w:t>
            </w:r>
          </w:p>
        </w:tc>
      </w:tr>
      <w:tr>
        <w:trPr>
          <w:trHeight w:hRule="exact" w:val="708"/>
        </w:trPr>
        <w:tc>
          <w:tcPr>
            <w:tcW w:type="dxa" w:w="1593"/>
            <w:vMerge/>
            <w:tcBorders>
              <w:top w:sz="2.0" w:val="single" w:color="#FFFFFF"/>
              <w:bottom w:sz="2.0" w:val="single" w:color="#221F1F"/>
            </w:tcBorders>
          </w:tcPr>
          <w:p/>
        </w:tc>
        <w:tc>
          <w:tcPr>
            <w:tcW w:type="dxa" w:w="3186"/>
            <w:gridSpan w:val="2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퇴직수당충당부채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3-④번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fffbd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고용계약</w:t>
            </w:r>
          </w:p>
        </w:tc>
      </w:tr>
      <w:tr>
        <w:trPr>
          <w:trHeight w:hRule="exact" w:val="710"/>
        </w:trPr>
        <w:tc>
          <w:tcPr>
            <w:tcW w:type="dxa" w:w="972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4" w:after="0"/>
              <w:ind w:left="144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암묵적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우발부채</w:t>
            </w:r>
          </w:p>
        </w:tc>
        <w:tc>
          <w:tcPr>
            <w:tcW w:type="dxa" w:w="3288"/>
            <w:gridSpan w:val="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미래사회보장급여에 대한 순의무 등 기타</w:t>
            </w:r>
          </w:p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1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사회보험사업(비용)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8-⑤번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사회보장</w:t>
            </w:r>
          </w:p>
        </w:tc>
      </w:tr>
      <w:tr>
        <w:trPr>
          <w:trHeight w:hRule="exact" w:val="710"/>
        </w:trPr>
        <w:tc>
          <w:tcPr>
            <w:tcW w:type="dxa" w:w="972"/>
            <w:vMerge w:val="restart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부채</w:t>
            </w:r>
          </w:p>
        </w:tc>
        <w:tc>
          <w:tcPr>
            <w:tcW w:type="dxa" w:w="1078"/>
            <w:vMerge w:val="restart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</w:t>
            </w:r>
          </w:p>
        </w:tc>
        <w:tc>
          <w:tcPr>
            <w:tcW w:type="dxa" w:w="22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파생금융상품 형태의 보증</w:t>
            </w:r>
          </w:p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파생상품내역(부채)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5-③번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파생상품 계약</w:t>
            </w:r>
          </w:p>
        </w:tc>
      </w:tr>
      <w:tr>
        <w:trPr>
          <w:trHeight w:hRule="exact" w:val="706"/>
        </w:trPr>
        <w:tc>
          <w:tcPr>
            <w:tcW w:type="dxa" w:w="1593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593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2210"/>
            <w:vMerge w:val="restart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16" w:after="0"/>
              <w:ind w:left="288" w:right="14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표준화된 보증 제도하에서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설정하는 충당부채</w:t>
            </w:r>
          </w:p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0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보험충당부채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3-③번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보험계약</w:t>
            </w:r>
          </w:p>
        </w:tc>
      </w:tr>
      <w:tr>
        <w:trPr>
          <w:trHeight w:hRule="exact" w:val="710"/>
        </w:trPr>
        <w:tc>
          <w:tcPr>
            <w:tcW w:type="dxa" w:w="1593"/>
            <w:vMerge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593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1593"/>
            <w:vMerge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</w:tcPr>
          <w:p/>
        </w:tc>
        <w:tc>
          <w:tcPr>
            <w:tcW w:type="dxa" w:w="226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1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보증충당부채</w:t>
            </w:r>
          </w:p>
        </w:tc>
        <w:tc>
          <w:tcPr>
            <w:tcW w:type="dxa" w:w="141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주석 3-④번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보증계약</w:t>
            </w:r>
          </w:p>
        </w:tc>
      </w:tr>
    </w:tbl>
    <w:p>
      <w:pPr>
        <w:autoSpaceDN w:val="0"/>
        <w:autoSpaceDE w:val="0"/>
        <w:widowControl/>
        <w:spacing w:line="245" w:lineRule="auto" w:before="182" w:after="0"/>
        <w:ind w:left="8" w:right="4752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최소운영수입보장 및 중요한 계약사항 규모는 국가결산보고서에 명시된 것만 산정. </w:t>
      </w:r>
      <w:r>
        <w:br/>
      </w: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대한민국정부, 「2020회계연도 국가결산보고서」를 참고하여 재작성. </w:t>
      </w:r>
    </w:p>
    <w:p>
      <w:pPr>
        <w:autoSpaceDN w:val="0"/>
        <w:autoSpaceDE w:val="0"/>
        <w:widowControl/>
        <w:spacing w:line="180" w:lineRule="exact" w:before="732" w:after="0"/>
        <w:ind w:left="8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>14</w:t>
      </w:r>
    </w:p>
    <w:p>
      <w:pPr>
        <w:sectPr>
          <w:pgSz w:w="11906" w:h="16838"/>
          <w:pgMar w:top="0" w:right="1220" w:bottom="332" w:left="11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</w:p>
    <w:p>
      <w:pPr>
        <w:autoSpaceDN w:val="0"/>
        <w:tabs>
          <w:tab w:pos="190" w:val="left"/>
          <w:tab w:pos="244" w:val="left"/>
          <w:tab w:pos="410" w:val="left"/>
          <w:tab w:pos="416" w:val="left"/>
        </w:tabs>
        <w:autoSpaceDE w:val="0"/>
        <w:widowControl/>
        <w:spacing w:line="293" w:lineRule="auto" w:before="0" w:after="1114"/>
        <w:ind w:left="6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주석5의 ③파생 상품내역과 주석3의 ③보험충당부채 및 ④보증충당부채는 ‘부채’로 인식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현재 ③파생상품 내역은 순자산변동표 조정항목에 파생상품평가손익으로 처리하는 동시에 우발부채로도 인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식하여 주석5에 기재하고 있는데, ‘파생금융상품형태의 보증(부채로 인식)’으로 분류되어야 함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또한 주석3의 ③보험충당부채와 ④보증충당부채는 각각 보험계약 및 보증계약으로 ‘표준화보증(부채로 인식)’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으로 분류되어야 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33"/>
        <w:gridCol w:w="4833"/>
      </w:tblGrid>
      <w:tr>
        <w:trPr>
          <w:trHeight w:hRule="exact" w:val="1162"/>
        </w:trPr>
        <w:tc>
          <w:tcPr>
            <w:tcW w:type="dxa" w:w="1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05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38" w:after="0"/>
              <w:ind w:left="5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4833"/>
        <w:gridCol w:w="4833"/>
      </w:tblGrid>
      <w:tr>
        <w:trPr>
          <w:trHeight w:hRule="exact" w:val="402"/>
        </w:trPr>
        <w:tc>
          <w:tcPr>
            <w:tcW w:type="dxa" w:w="9640"/>
            <w:gridSpan w:val="2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68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1397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8" w:lineRule="auto" w:before="20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52" w:right="0" w:firstLine="4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우발부채 용어 사용 혼란을 줄어야</w:t>
            </w:r>
            <w:r>
              <w:br/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「국가회계기준에 관한 규칙」이 일부개정을 통해 ‘우발부채’를 정의했음에도 국가결산보고서는‘우발사항’</w:t>
              <w:br/>
            </w:r>
          </w:p>
        </w:tc>
      </w:tr>
    </w:tbl>
    <w:p>
      <w:pPr>
        <w:autoSpaceDN w:val="0"/>
        <w:tabs>
          <w:tab w:pos="256" w:val="left"/>
          <w:tab w:pos="410" w:val="left"/>
        </w:tabs>
        <w:autoSpaceDE w:val="0"/>
        <w:widowControl/>
        <w:spacing w:line="266" w:lineRule="auto" w:before="124" w:after="0"/>
        <w:ind w:left="19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으로 공시, 「지방자치단체 회계기준에 관한 규칙」은 여전히 ‘우발손실’로 정의하는 등 용어 및 회계처리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상이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국가결산보고서 주석5 ‘우발사항 및 약정사항’을 ‘우발부채 및 자산’으로 변경을 고려할 필요</w:t>
      </w:r>
    </w:p>
    <w:p>
      <w:pPr>
        <w:autoSpaceDN w:val="0"/>
        <w:tabs>
          <w:tab w:pos="190" w:val="left"/>
          <w:tab w:pos="244" w:val="left"/>
          <w:tab w:pos="248" w:val="left"/>
          <w:tab w:pos="256" w:val="left"/>
          <w:tab w:pos="410" w:val="left"/>
          <w:tab w:pos="416" w:val="left"/>
        </w:tabs>
        <w:autoSpaceDE w:val="0"/>
        <w:widowControl/>
        <w:spacing w:line="240" w:lineRule="auto" w:before="1042" w:after="0"/>
        <w:ind w:left="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우발부채 분류기준 재검토해야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「국가회계기준에 관한 규칙」에도 불구하고, 국가결산보고서 주석5(우발사항 및 약정사항)에 우발부채를 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공시하고 있으나, 주석3과 주석8에도 우발부채가 혼재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우발부채의 국제비교 가능성 차원에서도 분류기준에 대한 재검토가 필요하며, 대표적으로 장기충당부채 중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일부는 우발부채로 재분류할 필요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주석5를 ‘우발부채 및 자산’으로 정의 후, 주석3(장기충당부채)과 주석8(기타 재무제표에 중대한 영향을 미치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는 사항과 재무제표의 이해를 위하여 필요한 사항)의 내용 중 우발부채 항목을 주석5에 재구성</w:t>
      </w:r>
    </w:p>
    <w:p>
      <w:pPr>
        <w:autoSpaceDN w:val="0"/>
        <w:tabs>
          <w:tab w:pos="190" w:val="left"/>
          <w:tab w:pos="244" w:val="left"/>
          <w:tab w:pos="248" w:val="left"/>
          <w:tab w:pos="256" w:val="left"/>
          <w:tab w:pos="410" w:val="left"/>
          <w:tab w:pos="416" w:val="left"/>
        </w:tabs>
        <w:autoSpaceDE w:val="0"/>
        <w:widowControl/>
        <w:spacing w:line="240" w:lineRule="auto" w:before="1042" w:after="0"/>
        <w:ind w:left="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1397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국제기준(GFSM)에 근거해 우발부채를 재정립해야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GFSM2014에 기초해 우발부채를 명시적 우발부채와 암묵적 우발부채로 구체화하여 체계적으로 관리할 </w:t>
      </w:r>
      <w:r>
        <w:tab/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필요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우발부채 지표는 IMF가 권고하는 채무지속가능성분석(DSA)의 기초자료로 활용되는 만큼, 재정의 지속가능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 관점에서 국제기준에 부합하는 우발부채 항목을 재정립하고 재분류할 필요</w:t>
      </w:r>
    </w:p>
    <w:p>
      <w:pPr>
        <w:autoSpaceDN w:val="0"/>
        <w:autoSpaceDE w:val="0"/>
        <w:widowControl/>
        <w:spacing w:line="180" w:lineRule="exact" w:before="1274" w:after="0"/>
        <w:ind w:left="0" w:right="82" w:firstLine="0"/>
        <w:jc w:val="right"/>
      </w:pPr>
      <w:r>
        <w:rPr>
          <w:rFonts w:ascii="DIN" w:hAnsi="DIN" w:eastAsia="DIN"/>
          <w:b/>
          <w:i w:val="0"/>
          <w:color w:val="221F1F"/>
          <w:sz w:val="18"/>
        </w:rPr>
        <w:t>15</w:t>
      </w:r>
    </w:p>
    <w:p>
      <w:pPr>
        <w:sectPr>
          <w:pgSz w:w="11906" w:h="16838"/>
          <w:pgMar w:top="810" w:right="1052" w:bottom="332" w:left="11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2008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168" w:lineRule="auto" w:before="552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(2018). 「충당부채,우발부채,우발자산 회계처리지침」.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(2021). 「국가회계기준에 관한 규칙」.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(2021). 「2021회계연도 결산작성지침」.</w:t>
      </w:r>
    </w:p>
    <w:p>
      <w:pPr>
        <w:autoSpaceDN w:val="0"/>
        <w:autoSpaceDE w:val="0"/>
        <w:widowControl/>
        <w:spacing w:line="232" w:lineRule="exact" w:before="188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</w:t>
      </w:r>
      <w:r>
        <w:rPr>
          <w:w w:val="98.26087122378142"/>
          <w:rFonts w:ascii="NanumGothicOTF" w:hAnsi="NanumGothicOTF" w:eastAsia="NanumGothicOTF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한국조세재정연구원. (2021). 「국가회계편람」.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대한민국 정부. (2021). 「2020회계연도 국가결산보고서」.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한국회계기준원. (2020). 「한국채택국제회계기준」. </w:t>
      </w:r>
    </w:p>
    <w:p>
      <w:pPr>
        <w:autoSpaceDN w:val="0"/>
        <w:autoSpaceDE w:val="0"/>
        <w:widowControl/>
        <w:spacing w:line="232" w:lineRule="exact" w:before="188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행정안전부. (2020). 「지방자치단체 복식부기</w:t>
      </w:r>
      <w:r>
        <w:rPr>
          <w:w w:val="98.26087122378142"/>
          <w:rFonts w:ascii="NanumGothicOTF" w:hAnsi="NanumGothicOTF" w:eastAsia="NanumGothicOTF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재무회계 운영규정」.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행정안전부. (2021). 「지방자치단체 회계기준에 관한 규칙」.</w:t>
      </w:r>
    </w:p>
    <w:p>
      <w:pPr>
        <w:autoSpaceDN w:val="0"/>
        <w:autoSpaceDE w:val="0"/>
        <w:widowControl/>
        <w:spacing w:line="245" w:lineRule="auto" w:before="194" w:after="0"/>
        <w:ind w:left="0" w:right="1728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정성호. (2015). 우발부채의 체계적 관리를 위한 제언. 「한국지방재정논집」, 20(4): 59-87.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IMF. (2001). 「Government Finance Statistics Manual 2001」.</w:t>
      </w:r>
    </w:p>
    <w:p>
      <w:pPr>
        <w:autoSpaceDN w:val="0"/>
        <w:autoSpaceDE w:val="0"/>
        <w:widowControl/>
        <w:spacing w:line="245" w:lineRule="auto" w:before="194" w:after="0"/>
        <w:ind w:left="0" w:right="1728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___. (2013). 「Public Sector Debt Statistics. Guide for Compilers and Users」.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___. (2017). 「Government Finance Statistics Manual 2014」.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IFAC. (2021). 「International Public Sector Accounting Standards」. </w:t>
      </w:r>
    </w:p>
    <w:p>
      <w:pPr>
        <w:autoSpaceDN w:val="0"/>
        <w:autoSpaceDE w:val="0"/>
        <w:widowControl/>
        <w:spacing w:line="234" w:lineRule="exact" w:before="186" w:after="673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UN</w:t>
      </w:r>
      <w:r>
        <w:rPr>
          <w:w w:val="98.26087122378142"/>
          <w:rFonts w:ascii="NanumGothicOTF" w:hAnsi="NanumGothicOTF" w:eastAsia="NanumGothicOTF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DESA. (2010). 「System of National Accounts 2008」.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44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홈페이지(www.kpfis.or.kr)를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228" w:bottom="64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